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g" ContentType="image/jpeg"/>
  <Default Extension="svg" ContentType="image/svg+xml"/>
  <Default Extension="gif" ContentType="image/gif"/>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0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0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
        <w:r>
          <w:rPr>
            <w:color w:val="0000FF" w:themeColor="hyperlink"/>
            <w:u w:val="single"/>
          </w:rPr>
          <w:t>Chapter 1</w:t>
        </w:r>
      </w:hyperlink>
    </w:p>
    <w:p>
      <w:pPr>
        <w:pStyle w:val="Normal"/>
        <w:ind w:left="0" w:firstLineChars="0" w:firstLine="0" w:leftChars="0"/>
      </w:pPr>
      <w:hyperlink w:anchor="Chapter_1__Desktop_Administratio">
        <w:r>
          <w:rPr>
            <w:color w:val="0000FF" w:themeColor="hyperlink"/>
            <w:u w:val="single"/>
          </w:rPr>
          <w:t>Chapter 1: Desktop Administration Overview</w:t>
        </w:r>
      </w:hyperlink>
    </w:p>
    <w:p>
      <w:pPr>
        <w:pStyle w:val="Normal"/>
        <w:ind w:left="0" w:firstLineChars="0" w:firstLine="0" w:leftChars="0"/>
      </w:pPr>
      <w:hyperlink w:anchor="Chapter_1_1">
        <w:r>
          <w:rPr>
            <w:color w:val="0000FF" w:themeColor="hyperlink"/>
            <w:u w:val="single"/>
          </w:rPr>
          <w:t>Chapter 1</w:t>
        </w:r>
      </w:hyperlink>
    </w:p>
    <w:p>
      <w:pPr>
        <w:pStyle w:val="Normal"/>
        <w:ind w:left="0" w:firstLineChars="0" w:firstLine="0" w:leftChars="0"/>
      </w:pPr>
      <w:hyperlink w:anchor="Chapter_1_2">
        <w:r>
          <w:rPr>
            <w:color w:val="0000FF" w:themeColor="hyperlink"/>
            <w:u w:val="single"/>
          </w:rPr>
          <w:t>Chapter 1</w:t>
        </w:r>
      </w:hyperlink>
    </w:p>
    <w:p>
      <w:pPr>
        <w:pStyle w:val="Normal"/>
        <w:ind w:left="0" w:firstLineChars="0" w:firstLine="0" w:leftChars="0"/>
      </w:pPr>
      <w:hyperlink w:anchor="Chapter_1_3">
        <w:r>
          <w:rPr>
            <w:color w:val="0000FF" w:themeColor="hyperlink"/>
            <w:u w:val="single"/>
          </w:rPr>
          <w:t>Chapter 1</w:t>
        </w:r>
      </w:hyperlink>
    </w:p>
    <w:p>
      <w:pPr>
        <w:pStyle w:val="Normal"/>
        <w:ind w:left="0" w:firstLineChars="0" w:firstLine="0" w:leftChars="0"/>
      </w:pPr>
      <w:hyperlink w:anchor="Chapter_1_4">
        <w:r>
          <w:rPr>
            <w:color w:val="0000FF" w:themeColor="hyperlink"/>
            <w:u w:val="single"/>
          </w:rPr>
          <w:t>Chapter 1</w:t>
        </w:r>
      </w:hyperlink>
    </w:p>
    <w:p>
      <w:pPr>
        <w:pStyle w:val="Normal"/>
        <w:ind w:left="0" w:firstLineChars="0" w:firstLine="0" w:leftChars="0"/>
      </w:pPr>
      <w:hyperlink w:anchor="Chapter_1_5">
        <w:r>
          <w:rPr>
            <w:color w:val="0000FF" w:themeColor="hyperlink"/>
            <w:u w:val="single"/>
          </w:rPr>
          <w:t>Chapter 1</w:t>
        </w:r>
      </w:hyperlink>
    </w:p>
    <w:p>
      <w:pPr>
        <w:pStyle w:val="Normal"/>
        <w:ind w:left="0" w:firstLineChars="0" w:firstLine="0" w:leftChars="0"/>
      </w:pPr>
      <w:hyperlink w:anchor="Chapter_1_6">
        <w:r>
          <w:rPr>
            <w:color w:val="0000FF" w:themeColor="hyperlink"/>
            <w:u w:val="single"/>
          </w:rPr>
          <w:t>Chapter 1</w:t>
        </w:r>
      </w:hyperlink>
    </w:p>
    <w:p>
      <w:pPr>
        <w:pStyle w:val="Normal"/>
        <w:ind w:left="0" w:firstLineChars="0" w:firstLine="0" w:leftChars="0"/>
      </w:pPr>
      <w:hyperlink w:anchor="Chapter_1_7">
        <w:r>
          <w:rPr>
            <w:color w:val="0000FF" w:themeColor="hyperlink"/>
            <w:u w:val="single"/>
          </w:rPr>
          <w:t>Chapter 1</w:t>
        </w:r>
      </w:hyperlink>
    </w:p>
    <w:p>
      <w:pPr>
        <w:pStyle w:val="Normal"/>
        <w:ind w:left="0" w:firstLineChars="0" w:firstLine="0" w:leftChars="0"/>
      </w:pPr>
      <w:hyperlink w:anchor="Chapter_1_8">
        <w:r>
          <w:rPr>
            <w:color w:val="0000FF" w:themeColor="hyperlink"/>
            <w:u w:val="single"/>
          </w:rPr>
          <w:t>Chapter 1</w:t>
        </w:r>
      </w:hyperlink>
    </w:p>
    <w:p>
      <w:pPr>
        <w:pStyle w:val="Normal"/>
        <w:ind w:left="0" w:firstLineChars="0" w:firstLine="0" w:leftChars="0"/>
      </w:pPr>
      <w:hyperlink w:anchor="Chapter_1_9">
        <w:r>
          <w:rPr>
            <w:color w:val="0000FF" w:themeColor="hyperlink"/>
            <w:u w:val="single"/>
          </w:rPr>
          <w:t>Chapter 1</w:t>
        </w:r>
      </w:hyperlink>
    </w:p>
    <w:p>
      <w:pPr>
        <w:pStyle w:val="Normal"/>
        <w:ind w:left="0" w:firstLineChars="0" w:firstLine="0" w:leftChars="0"/>
      </w:pPr>
      <w:hyperlink w:anchor="Chapter_1_10">
        <w:r>
          <w:rPr>
            <w:color w:val="0000FF" w:themeColor="hyperlink"/>
            <w:u w:val="single"/>
          </w:rPr>
          <w:t>Chapter 1</w:t>
        </w:r>
      </w:hyperlink>
    </w:p>
    <w:p>
      <w:pPr>
        <w:pStyle w:val="Normal"/>
        <w:ind w:left="0" w:firstLineChars="0" w:firstLine="0" w:leftChars="0"/>
      </w:pPr>
      <w:hyperlink w:anchor="Chapter_1_11">
        <w:r>
          <w:rPr>
            <w:color w:val="0000FF" w:themeColor="hyperlink"/>
            <w:u w:val="single"/>
          </w:rPr>
          <w:t>Chapter 1</w:t>
        </w:r>
      </w:hyperlink>
    </w:p>
    <w:p>
      <w:pPr>
        <w:pStyle w:val="Normal"/>
        <w:ind w:left="0" w:firstLineChars="0" w:firstLine="0" w:leftChars="0"/>
      </w:pPr>
      <w:hyperlink w:anchor="Chapter_1_12">
        <w:r>
          <w:rPr>
            <w:color w:val="0000FF" w:themeColor="hyperlink"/>
            <w:u w:val="single"/>
          </w:rPr>
          <w:t>Chapter 1</w:t>
        </w:r>
      </w:hyperlink>
    </w:p>
    <w:p>
      <w:pPr>
        <w:pStyle w:val="Normal"/>
        <w:ind w:left="0" w:firstLineChars="0" w:firstLine="0" w:leftChars="0"/>
      </w:pPr>
      <w:hyperlink w:anchor="Chapter_1_13">
        <w:r>
          <w:rPr>
            <w:color w:val="0000FF" w:themeColor="hyperlink"/>
            <w:u w:val="single"/>
          </w:rPr>
          <w:t>Chapter 1</w:t>
        </w:r>
      </w:hyperlink>
    </w:p>
    <w:p>
      <w:pPr>
        <w:pStyle w:val="Normal"/>
        <w:ind w:left="0" w:firstLineChars="0" w:firstLine="0" w:leftChars="0"/>
      </w:pPr>
      <w:hyperlink w:anchor="Chapter_1_14">
        <w:r>
          <w:rPr>
            <w:color w:val="0000FF" w:themeColor="hyperlink"/>
            <w:u w:val="single"/>
          </w:rPr>
          <w:t>Chapter 1</w:t>
        </w:r>
      </w:hyperlink>
    </w:p>
    <w:p>
      <w:pPr>
        <w:pStyle w:val="Normal"/>
        <w:ind w:left="0" w:firstLineChars="0" w:firstLine="0" w:leftChars="0"/>
      </w:pPr>
      <w:hyperlink w:anchor="Chapter_1_15">
        <w:r>
          <w:rPr>
            <w:color w:val="0000FF" w:themeColor="hyperlink"/>
            <w:u w:val="single"/>
          </w:rPr>
          <w:t>Chapter 1</w:t>
        </w:r>
      </w:hyperlink>
    </w:p>
    <w:p>
      <w:pPr>
        <w:pStyle w:val="Normal"/>
        <w:ind w:left="0" w:firstLineChars="0" w:firstLine="0" w:leftChars="0"/>
      </w:pPr>
      <w:hyperlink w:anchor="Chapter_1_16">
        <w:r>
          <w:rPr>
            <w:color w:val="0000FF" w:themeColor="hyperlink"/>
            <w:u w:val="single"/>
          </w:rPr>
          <w:t>Chapter 1</w:t>
        </w:r>
      </w:hyperlink>
    </w:p>
    <w:p>
      <w:pPr>
        <w:pStyle w:val="Normal"/>
        <w:ind w:left="0" w:firstLineChars="0" w:firstLine="0" w:leftChars="0"/>
      </w:pPr>
      <w:hyperlink w:anchor="Chapter_1_17">
        <w:r>
          <w:rPr>
            <w:color w:val="0000FF" w:themeColor="hyperlink"/>
            <w:u w:val="single"/>
          </w:rPr>
          <w:t>Chapter 1</w:t>
        </w:r>
      </w:hyperlink>
    </w:p>
    <w:p>
      <w:pPr>
        <w:pStyle w:val="Normal"/>
        <w:ind w:left="0" w:firstLineChars="0" w:firstLine="0" w:leftChars="0"/>
      </w:pPr>
      <w:hyperlink w:anchor="Chapter_1_18">
        <w:r>
          <w:rPr>
            <w:color w:val="0000FF" w:themeColor="hyperlink"/>
            <w:u w:val="single"/>
          </w:rPr>
          <w:t>Chapter 1</w:t>
        </w:r>
      </w:hyperlink>
    </w:p>
    <w:p>
      <w:pPr>
        <w:pStyle w:val="Normal"/>
        <w:ind w:left="0" w:firstLineChars="0" w:firstLine="0" w:leftChars="0"/>
      </w:pPr>
      <w:hyperlink w:anchor="Chapter_1_19">
        <w:r>
          <w:rPr>
            <w:color w:val="0000FF" w:themeColor="hyperlink"/>
            <w:u w:val="single"/>
          </w:rPr>
          <w:t>Chapter 1</w:t>
        </w:r>
      </w:hyperlink>
    </w:p>
    <w:p>
      <w:pPr>
        <w:pStyle w:val="Normal"/>
        <w:ind w:left="0" w:firstLineChars="0" w:firstLine="0" w:leftChars="0"/>
      </w:pPr>
      <w:hyperlink w:anchor="Chapter_1_20">
        <w:r>
          <w:rPr>
            <w:color w:val="0000FF" w:themeColor="hyperlink"/>
            <w:u w:val="single"/>
          </w:rPr>
          <w:t>Chapter 1</w:t>
        </w:r>
      </w:hyperlink>
    </w:p>
    <w:p>
      <w:pPr>
        <w:pStyle w:val="Normal"/>
        <w:ind w:left="0" w:firstLineChars="0" w:firstLine="0" w:leftChars="0"/>
      </w:pPr>
      <w:hyperlink w:anchor="Chapter_1_21">
        <w:r>
          <w:rPr>
            <w:color w:val="0000FF" w:themeColor="hyperlink"/>
            <w:u w:val="single"/>
          </w:rPr>
          <w:t>Chapter 1</w:t>
        </w:r>
      </w:hyperlink>
    </w:p>
    <w:p>
      <w:pPr>
        <w:pStyle w:val="Normal"/>
        <w:ind w:left="0" w:firstLineChars="0" w:firstLine="0" w:leftChars="0"/>
      </w:pPr>
      <w:hyperlink w:anchor="Chapter_1_22">
        <w:r>
          <w:rPr>
            <w:color w:val="0000FF" w:themeColor="hyperlink"/>
            <w:u w:val="single"/>
          </w:rPr>
          <w:t>Chapter 1</w:t>
        </w:r>
      </w:hyperlink>
    </w:p>
    <w:p>
      <w:pPr>
        <w:pStyle w:val="Normal"/>
        <w:ind w:left="0" w:firstLineChars="0" w:firstLine="0" w:leftChars="0"/>
      </w:pPr>
      <w:hyperlink w:anchor="Chapter_2">
        <w:r>
          <w:rPr>
            <w:color w:val="0000FF" w:themeColor="hyperlink"/>
            <w:u w:val="single"/>
          </w:rPr>
          <w:t>Chapter 2</w:t>
        </w:r>
      </w:hyperlink>
    </w:p>
    <w:p>
      <w:pPr>
        <w:pStyle w:val="Normal"/>
        <w:ind w:left="0" w:firstLineChars="0" w:firstLine="0" w:leftChars="0"/>
      </w:pPr>
      <w:hyperlink w:anchor="Chapter_2__OS_Deployment">
        <w:r>
          <w:rPr>
            <w:color w:val="0000FF" w:themeColor="hyperlink"/>
            <w:u w:val="single"/>
          </w:rPr>
          <w:t>Chapter 2: OS Deployment</w:t>
        </w:r>
      </w:hyperlink>
    </w:p>
    <w:p>
      <w:pPr>
        <w:pStyle w:val="Normal"/>
        <w:ind w:left="0" w:firstLineChars="0" w:firstLine="0" w:leftChars="0"/>
      </w:pPr>
      <w:hyperlink w:anchor="chapter_covers_the_first_of_thes">
        <w:r>
          <w:rPr>
            <w:color w:val="0000FF" w:themeColor="hyperlink"/>
            <w:u w:val="single"/>
          </w:rPr>
          <w:t>chapter covers the first of these subjects, operating system (OS) deployment. The deployment of new systems is the foundation on which the stability of the workstation will be set, no matter</w:t>
        </w:r>
      </w:hyperlink>
    </w:p>
    <w:p>
      <w:pPr>
        <w:pStyle w:val="Normal"/>
        <w:ind w:left="0" w:firstLineChars="0" w:firstLine="0" w:leftChars="0"/>
      </w:pPr>
      <w:hyperlink w:anchor="Chapter_2_1">
        <w:r>
          <w:rPr>
            <w:color w:val="0000FF" w:themeColor="hyperlink"/>
            <w:u w:val="single"/>
          </w:rPr>
          <w:t>Chapter 2</w:t>
        </w:r>
      </w:hyperlink>
    </w:p>
    <w:p>
      <w:pPr>
        <w:pStyle w:val="Normal"/>
        <w:ind w:left="0" w:firstLineChars="0" w:firstLine="0" w:leftChars="0"/>
      </w:pPr>
      <w:hyperlink w:anchor="Chapter_2_2">
        <w:r>
          <w:rPr>
            <w:color w:val="0000FF" w:themeColor="hyperlink"/>
            <w:u w:val="single"/>
          </w:rPr>
          <w:t>Chapter 2</w:t>
        </w:r>
      </w:hyperlink>
    </w:p>
    <w:p>
      <w:pPr>
        <w:pStyle w:val="Normal"/>
        <w:ind w:left="0" w:firstLineChars="0" w:firstLine="0" w:leftChars="0"/>
      </w:pPr>
      <w:hyperlink w:anchor="Chapter_2_3">
        <w:r>
          <w:rPr>
            <w:color w:val="0000FF" w:themeColor="hyperlink"/>
            <w:u w:val="single"/>
          </w:rPr>
          <w:t>Chapter 2</w:t>
        </w:r>
      </w:hyperlink>
    </w:p>
    <w:p>
      <w:pPr>
        <w:pStyle w:val="Normal"/>
        <w:ind w:left="0" w:firstLineChars="0" w:firstLine="0" w:leftChars="0"/>
      </w:pPr>
      <w:hyperlink w:anchor="Chapter_2_4">
        <w:r>
          <w:rPr>
            <w:color w:val="0000FF" w:themeColor="hyperlink"/>
            <w:u w:val="single"/>
          </w:rPr>
          <w:t>Chapter 2</w:t>
        </w:r>
      </w:hyperlink>
    </w:p>
    <w:p>
      <w:pPr>
        <w:pStyle w:val="Normal"/>
        <w:ind w:left="0" w:firstLineChars="0" w:firstLine="0" w:leftChars="0"/>
      </w:pPr>
      <w:hyperlink w:anchor="Chapter_2_5">
        <w:r>
          <w:rPr>
            <w:color w:val="0000FF" w:themeColor="hyperlink"/>
            <w:u w:val="single"/>
          </w:rPr>
          <w:t>Chapter 2</w:t>
        </w:r>
      </w:hyperlink>
    </w:p>
    <w:p>
      <w:pPr>
        <w:pStyle w:val="Normal"/>
        <w:ind w:left="0" w:firstLineChars="0" w:firstLine="0" w:leftChars="0"/>
      </w:pPr>
      <w:hyperlink w:anchor="Chapter_2_6">
        <w:r>
          <w:rPr>
            <w:color w:val="0000FF" w:themeColor="hyperlink"/>
            <w:u w:val="single"/>
          </w:rPr>
          <w:t>Chapter 2</w:t>
        </w:r>
      </w:hyperlink>
    </w:p>
    <w:p>
      <w:pPr>
        <w:pStyle w:val="Normal"/>
        <w:ind w:left="0" w:firstLineChars="0" w:firstLine="0" w:leftChars="0"/>
      </w:pPr>
      <w:hyperlink w:anchor="Chapter_2_7">
        <w:r>
          <w:rPr>
            <w:color w:val="0000FF" w:themeColor="hyperlink"/>
            <w:u w:val="single"/>
          </w:rPr>
          <w:t>Chapter 2</w:t>
        </w:r>
      </w:hyperlink>
    </w:p>
    <w:p>
      <w:pPr>
        <w:pStyle w:val="Normal"/>
        <w:ind w:left="0" w:firstLineChars="0" w:firstLine="0" w:leftChars="0"/>
      </w:pPr>
      <w:hyperlink w:anchor="Chapter_2_8">
        <w:r>
          <w:rPr>
            <w:color w:val="0000FF" w:themeColor="hyperlink"/>
            <w:u w:val="single"/>
          </w:rPr>
          <w:t>Chapter 2</w:t>
        </w:r>
      </w:hyperlink>
    </w:p>
    <w:p>
      <w:pPr>
        <w:pStyle w:val="Normal"/>
        <w:ind w:left="0" w:firstLineChars="0" w:firstLine="0" w:leftChars="0"/>
      </w:pPr>
      <w:hyperlink w:anchor="Chapter_2_9">
        <w:r>
          <w:rPr>
            <w:color w:val="0000FF" w:themeColor="hyperlink"/>
            <w:u w:val="single"/>
          </w:rPr>
          <w:t>Chapter 2</w:t>
        </w:r>
      </w:hyperlink>
    </w:p>
    <w:p>
      <w:pPr>
        <w:pStyle w:val="Normal"/>
        <w:ind w:left="0" w:firstLineChars="0" w:firstLine="0" w:leftChars="0"/>
      </w:pPr>
      <w:hyperlink w:anchor="Chapter_2_10">
        <w:r>
          <w:rPr>
            <w:color w:val="0000FF" w:themeColor="hyperlink"/>
            <w:u w:val="single"/>
          </w:rPr>
          <w:t>Chapter 2</w:t>
        </w:r>
      </w:hyperlink>
    </w:p>
    <w:p>
      <w:pPr>
        <w:pStyle w:val="Normal"/>
        <w:ind w:left="0" w:firstLineChars="0" w:firstLine="0" w:leftChars="0"/>
      </w:pPr>
      <w:hyperlink w:anchor="Chapter_2_11">
        <w:r>
          <w:rPr>
            <w:color w:val="0000FF" w:themeColor="hyperlink"/>
            <w:u w:val="single"/>
          </w:rPr>
          <w:t>Chapter 2</w:t>
        </w:r>
      </w:hyperlink>
    </w:p>
    <w:p>
      <w:pPr>
        <w:pStyle w:val="Normal"/>
        <w:ind w:left="0" w:firstLineChars="0" w:firstLine="0" w:leftChars="0"/>
      </w:pPr>
      <w:hyperlink w:anchor="Chapter_2_12">
        <w:r>
          <w:rPr>
            <w:color w:val="0000FF" w:themeColor="hyperlink"/>
            <w:u w:val="single"/>
          </w:rPr>
          <w:t>Chapter 2</w:t>
        </w:r>
      </w:hyperlink>
    </w:p>
    <w:p>
      <w:pPr>
        <w:pStyle w:val="Normal"/>
        <w:ind w:left="0" w:firstLineChars="0" w:firstLine="0" w:leftChars="0"/>
      </w:pPr>
      <w:hyperlink w:anchor="Chapter_2_13">
        <w:r>
          <w:rPr>
            <w:color w:val="0000FF" w:themeColor="hyperlink"/>
            <w:u w:val="single"/>
          </w:rPr>
          <w:t>Chapter 2</w:t>
        </w:r>
      </w:hyperlink>
    </w:p>
    <w:p>
      <w:pPr>
        <w:pStyle w:val="Normal"/>
        <w:ind w:left="0" w:firstLineChars="0" w:firstLine="0" w:leftChars="0"/>
      </w:pPr>
      <w:hyperlink w:anchor="Chapter_2_14">
        <w:r>
          <w:rPr>
            <w:color w:val="0000FF" w:themeColor="hyperlink"/>
            <w:u w:val="single"/>
          </w:rPr>
          <w:t>Chapter 2</w:t>
        </w:r>
      </w:hyperlink>
    </w:p>
    <w:p>
      <w:pPr>
        <w:pStyle w:val="Normal"/>
        <w:ind w:left="0" w:firstLineChars="0" w:firstLine="0" w:leftChars="0"/>
      </w:pPr>
      <w:hyperlink w:anchor="Chapter_2_15">
        <w:r>
          <w:rPr>
            <w:color w:val="0000FF" w:themeColor="hyperlink"/>
            <w:u w:val="single"/>
          </w:rPr>
          <w:t>Chapter 2</w:t>
        </w:r>
      </w:hyperlink>
    </w:p>
    <w:p>
      <w:pPr>
        <w:pStyle w:val="Normal"/>
        <w:ind w:left="0" w:firstLineChars="0" w:firstLine="0" w:leftChars="0"/>
      </w:pPr>
      <w:hyperlink w:anchor="Chapter_2_16">
        <w:r>
          <w:rPr>
            <w:color w:val="0000FF" w:themeColor="hyperlink"/>
            <w:u w:val="single"/>
          </w:rPr>
          <w:t>Chapter 2</w:t>
        </w:r>
      </w:hyperlink>
    </w:p>
    <w:p>
      <w:pPr>
        <w:pStyle w:val="Normal"/>
        <w:ind w:left="0" w:firstLineChars="0" w:firstLine="0" w:leftChars="0"/>
      </w:pPr>
      <w:hyperlink w:anchor="Chapter_2_17">
        <w:r>
          <w:rPr>
            <w:color w:val="0000FF" w:themeColor="hyperlink"/>
            <w:u w:val="single"/>
          </w:rPr>
          <w:t>Chapter 2</w:t>
        </w:r>
      </w:hyperlink>
    </w:p>
    <w:p>
      <w:pPr>
        <w:pStyle w:val="Normal"/>
        <w:ind w:left="0" w:firstLineChars="0" w:firstLine="0" w:leftChars="0"/>
      </w:pPr>
      <w:hyperlink w:anchor="Chapter_2_18">
        <w:r>
          <w:rPr>
            <w:color w:val="0000FF" w:themeColor="hyperlink"/>
            <w:u w:val="single"/>
          </w:rPr>
          <w:t>Chapter 2</w:t>
        </w:r>
      </w:hyperlink>
    </w:p>
    <w:p>
      <w:pPr>
        <w:pStyle w:val="Normal"/>
        <w:ind w:left="0" w:firstLineChars="0" w:firstLine="0" w:leftChars="0"/>
      </w:pPr>
      <w:hyperlink w:anchor="Chapter_2_19">
        <w:r>
          <w:rPr>
            <w:color w:val="0000FF" w:themeColor="hyperlink"/>
            <w:u w:val="single"/>
          </w:rPr>
          <w:t>Chapter 2</w:t>
        </w:r>
      </w:hyperlink>
    </w:p>
    <w:p>
      <w:pPr>
        <w:pStyle w:val="Normal"/>
        <w:ind w:left="0" w:firstLineChars="0" w:firstLine="0" w:leftChars="0"/>
      </w:pPr>
      <w:hyperlink w:anchor="Chapter_2_20">
        <w:r>
          <w:rPr>
            <w:color w:val="0000FF" w:themeColor="hyperlink"/>
            <w:u w:val="single"/>
          </w:rPr>
          <w:t>Chapter 2</w:t>
        </w:r>
      </w:hyperlink>
    </w:p>
    <w:p>
      <w:pPr>
        <w:pStyle w:val="Normal"/>
        <w:ind w:left="0" w:firstLineChars="0" w:firstLine="0" w:leftChars="0"/>
      </w:pPr>
      <w:hyperlink w:anchor="Chapter_2_21">
        <w:r>
          <w:rPr>
            <w:color w:val="0000FF" w:themeColor="hyperlink"/>
            <w:u w:val="single"/>
          </w:rPr>
          <w:t>Chapter 2</w:t>
        </w:r>
      </w:hyperlink>
    </w:p>
    <w:p>
      <w:pPr>
        <w:pStyle w:val="Normal"/>
        <w:ind w:left="0" w:firstLineChars="0" w:firstLine="0" w:leftChars="0"/>
      </w:pPr>
      <w:hyperlink w:anchor="Chapter_2_22">
        <w:r>
          <w:rPr>
            <w:color w:val="0000FF" w:themeColor="hyperlink"/>
            <w:u w:val="single"/>
          </w:rPr>
          <w:t>Chapter 2</w:t>
        </w:r>
      </w:hyperlink>
    </w:p>
    <w:p>
      <w:pPr>
        <w:pStyle w:val="Normal"/>
        <w:ind w:left="0" w:firstLineChars="0" w:firstLine="0" w:leftChars="0"/>
      </w:pPr>
      <w:hyperlink w:anchor="Chapter_2_23">
        <w:r>
          <w:rPr>
            <w:color w:val="0000FF" w:themeColor="hyperlink"/>
            <w:u w:val="single"/>
          </w:rPr>
          <w:t>Chapter 2</w:t>
        </w:r>
      </w:hyperlink>
    </w:p>
    <w:p>
      <w:pPr>
        <w:pStyle w:val="Normal"/>
        <w:ind w:left="0" w:firstLineChars="0" w:firstLine="0" w:leftChars="0"/>
      </w:pPr>
      <w:hyperlink w:anchor="Chapter_2_24">
        <w:r>
          <w:rPr>
            <w:color w:val="0000FF" w:themeColor="hyperlink"/>
            <w:u w:val="single"/>
          </w:rPr>
          <w:t>Chapter 2</w:t>
        </w:r>
      </w:hyperlink>
    </w:p>
    <w:p>
      <w:pPr>
        <w:pStyle w:val="Normal"/>
        <w:ind w:left="0" w:firstLineChars="0" w:firstLine="0" w:leftChars="0"/>
      </w:pPr>
      <w:hyperlink w:anchor="Chapter_2_25">
        <w:r>
          <w:rPr>
            <w:color w:val="0000FF" w:themeColor="hyperlink"/>
            <w:u w:val="single"/>
          </w:rPr>
          <w:t>Chapter 2</w:t>
        </w:r>
      </w:hyperlink>
    </w:p>
    <w:p>
      <w:pPr>
        <w:pStyle w:val="Normal"/>
        <w:ind w:left="0" w:firstLineChars="0" w:firstLine="0" w:leftChars="0"/>
      </w:pPr>
      <w:hyperlink w:anchor="Chapter_2_26">
        <w:r>
          <w:rPr>
            <w:color w:val="0000FF" w:themeColor="hyperlink"/>
            <w:u w:val="single"/>
          </w:rPr>
          <w:t>Chapter 2</w:t>
        </w:r>
      </w:hyperlink>
    </w:p>
    <w:p>
      <w:pPr>
        <w:pStyle w:val="Normal"/>
        <w:ind w:left="0" w:firstLineChars="0" w:firstLine="0" w:leftChars="0"/>
      </w:pPr>
      <w:hyperlink w:anchor="Chapter_3">
        <w:r>
          <w:rPr>
            <w:color w:val="0000FF" w:themeColor="hyperlink"/>
            <w:u w:val="single"/>
          </w:rPr>
          <w:t>Chapter 3</w:t>
        </w:r>
      </w:hyperlink>
    </w:p>
    <w:p>
      <w:pPr>
        <w:pStyle w:val="Normal"/>
        <w:ind w:left="0" w:firstLineChars="0" w:firstLine="0" w:leftChars="0"/>
      </w:pPr>
      <w:hyperlink w:anchor="Chapter_3__User_Profile_and_Data">
        <w:r>
          <w:rPr>
            <w:color w:val="0000FF" w:themeColor="hyperlink"/>
            <w:u w:val="single"/>
          </w:rPr>
          <w:t>Chapter 3: User Profile and Data Management</w:t>
        </w:r>
      </w:hyperlink>
    </w:p>
    <w:p>
      <w:pPr>
        <w:pStyle w:val="Normal"/>
        <w:ind w:left="0" w:firstLineChars="0" w:firstLine="0" w:leftChars="0"/>
      </w:pPr>
      <w:hyperlink w:anchor="Chapter_3_1">
        <w:r>
          <w:rPr>
            <w:color w:val="0000FF" w:themeColor="hyperlink"/>
            <w:u w:val="single"/>
          </w:rPr>
          <w:t>Chapter 3</w:t>
        </w:r>
      </w:hyperlink>
    </w:p>
    <w:p>
      <w:pPr>
        <w:pStyle w:val="Normal"/>
        <w:ind w:left="0" w:firstLineChars="0" w:firstLine="0" w:leftChars="0"/>
      </w:pPr>
      <w:hyperlink w:anchor="Chapter_3_2">
        <w:r>
          <w:rPr>
            <w:color w:val="0000FF" w:themeColor="hyperlink"/>
            <w:u w:val="single"/>
          </w:rPr>
          <w:t>Chapter 3</w:t>
        </w:r>
      </w:hyperlink>
    </w:p>
    <w:p>
      <w:pPr>
        <w:pStyle w:val="Normal"/>
        <w:ind w:left="0" w:firstLineChars="0" w:firstLine="0" w:leftChars="0"/>
      </w:pPr>
      <w:hyperlink w:anchor="Chapter_3_3">
        <w:r>
          <w:rPr>
            <w:color w:val="0000FF" w:themeColor="hyperlink"/>
            <w:u w:val="single"/>
          </w:rPr>
          <w:t>Chapter 3</w:t>
        </w:r>
      </w:hyperlink>
    </w:p>
    <w:p>
      <w:pPr>
        <w:pStyle w:val="Normal"/>
        <w:ind w:left="0" w:firstLineChars="0" w:firstLine="0" w:leftChars="0"/>
      </w:pPr>
      <w:hyperlink w:anchor="Chapter_3_4">
        <w:r>
          <w:rPr>
            <w:color w:val="0000FF" w:themeColor="hyperlink"/>
            <w:u w:val="single"/>
          </w:rPr>
          <w:t>Chapter 3</w:t>
        </w:r>
      </w:hyperlink>
    </w:p>
    <w:p>
      <w:pPr>
        <w:pStyle w:val="Normal"/>
        <w:ind w:left="0" w:firstLineChars="0" w:firstLine="0" w:leftChars="0"/>
      </w:pPr>
      <w:hyperlink w:anchor="Chapter_3_5">
        <w:r>
          <w:rPr>
            <w:color w:val="0000FF" w:themeColor="hyperlink"/>
            <w:u w:val="single"/>
          </w:rPr>
          <w:t>Chapter 3</w:t>
        </w:r>
      </w:hyperlink>
    </w:p>
    <w:p>
      <w:pPr>
        <w:pStyle w:val="Normal"/>
        <w:ind w:left="0" w:firstLineChars="0" w:firstLine="0" w:leftChars="0"/>
      </w:pPr>
      <w:hyperlink w:anchor="Chapter_3_6">
        <w:r>
          <w:rPr>
            <w:color w:val="0000FF" w:themeColor="hyperlink"/>
            <w:u w:val="single"/>
          </w:rPr>
          <w:t>Chapter 3</w:t>
        </w:r>
      </w:hyperlink>
    </w:p>
    <w:p>
      <w:pPr>
        <w:pStyle w:val="Normal"/>
        <w:ind w:left="0" w:firstLineChars="0" w:firstLine="0" w:leftChars="0"/>
      </w:pPr>
      <w:hyperlink w:anchor="Chapter_3_7">
        <w:r>
          <w:rPr>
            <w:color w:val="0000FF" w:themeColor="hyperlink"/>
            <w:u w:val="single"/>
          </w:rPr>
          <w:t>Chapter 3</w:t>
        </w:r>
      </w:hyperlink>
    </w:p>
    <w:p>
      <w:pPr>
        <w:pStyle w:val="Normal"/>
        <w:ind w:left="0" w:firstLineChars="0" w:firstLine="0" w:leftChars="0"/>
      </w:pPr>
      <w:hyperlink w:anchor="Chapter_3_8">
        <w:r>
          <w:rPr>
            <w:color w:val="0000FF" w:themeColor="hyperlink"/>
            <w:u w:val="single"/>
          </w:rPr>
          <w:t>Chapter 3</w:t>
        </w:r>
      </w:hyperlink>
    </w:p>
    <w:p>
      <w:pPr>
        <w:pStyle w:val="Normal"/>
        <w:ind w:left="0" w:firstLineChars="0" w:firstLine="0" w:leftChars="0"/>
      </w:pPr>
      <w:hyperlink w:anchor="Chapter_3_9">
        <w:r>
          <w:rPr>
            <w:color w:val="0000FF" w:themeColor="hyperlink"/>
            <w:u w:val="single"/>
          </w:rPr>
          <w:t>Chapter 3</w:t>
        </w:r>
      </w:hyperlink>
    </w:p>
    <w:p>
      <w:pPr>
        <w:pStyle w:val="Normal"/>
        <w:ind w:left="0" w:firstLineChars="0" w:firstLine="0" w:leftChars="0"/>
      </w:pPr>
      <w:hyperlink w:anchor="Chapter_3_10">
        <w:r>
          <w:rPr>
            <w:color w:val="0000FF" w:themeColor="hyperlink"/>
            <w:u w:val="single"/>
          </w:rPr>
          <w:t>Chapter 3</w:t>
        </w:r>
      </w:hyperlink>
    </w:p>
    <w:p>
      <w:pPr>
        <w:pStyle w:val="Normal"/>
        <w:ind w:left="0" w:firstLineChars="0" w:firstLine="0" w:leftChars="0"/>
      </w:pPr>
      <w:hyperlink w:anchor="Chapter_3_11">
        <w:r>
          <w:rPr>
            <w:color w:val="0000FF" w:themeColor="hyperlink"/>
            <w:u w:val="single"/>
          </w:rPr>
          <w:t>Chapter 3</w:t>
        </w:r>
      </w:hyperlink>
    </w:p>
    <w:p>
      <w:pPr>
        <w:pStyle w:val="Normal"/>
        <w:ind w:left="0" w:firstLineChars="0" w:firstLine="0" w:leftChars="0"/>
      </w:pPr>
      <w:hyperlink w:anchor="Chapter_3_12">
        <w:r>
          <w:rPr>
            <w:color w:val="0000FF" w:themeColor="hyperlink"/>
            <w:u w:val="single"/>
          </w:rPr>
          <w:t>Chapter 3</w:t>
        </w:r>
      </w:hyperlink>
    </w:p>
    <w:p>
      <w:pPr>
        <w:pStyle w:val="Normal"/>
        <w:ind w:left="0" w:firstLineChars="0" w:firstLine="0" w:leftChars="0"/>
      </w:pPr>
      <w:hyperlink w:anchor="Chapter_3_13">
        <w:r>
          <w:rPr>
            <w:color w:val="0000FF" w:themeColor="hyperlink"/>
            <w:u w:val="single"/>
          </w:rPr>
          <w:t>Chapter 3</w:t>
        </w:r>
      </w:hyperlink>
    </w:p>
    <w:p>
      <w:pPr>
        <w:pStyle w:val="Normal"/>
        <w:ind w:left="0" w:firstLineChars="0" w:firstLine="0" w:leftChars="0"/>
      </w:pPr>
      <w:hyperlink w:anchor="Chapter_3_14">
        <w:r>
          <w:rPr>
            <w:color w:val="0000FF" w:themeColor="hyperlink"/>
            <w:u w:val="single"/>
          </w:rPr>
          <w:t>Chapter 3</w:t>
        </w:r>
      </w:hyperlink>
    </w:p>
    <w:p>
      <w:pPr>
        <w:pStyle w:val="Normal"/>
        <w:ind w:left="0" w:firstLineChars="0" w:firstLine="0" w:leftChars="0"/>
      </w:pPr>
      <w:hyperlink w:anchor="Chapter_3_15">
        <w:r>
          <w:rPr>
            <w:color w:val="0000FF" w:themeColor="hyperlink"/>
            <w:u w:val="single"/>
          </w:rPr>
          <w:t>Chapter 3</w:t>
        </w:r>
      </w:hyperlink>
    </w:p>
    <w:p>
      <w:pPr>
        <w:pStyle w:val="Normal"/>
        <w:ind w:left="0" w:firstLineChars="0" w:firstLine="0" w:leftChars="0"/>
      </w:pPr>
      <w:hyperlink w:anchor="Chapter_3_16">
        <w:r>
          <w:rPr>
            <w:color w:val="0000FF" w:themeColor="hyperlink"/>
            <w:u w:val="single"/>
          </w:rPr>
          <w:t>Chapter 3</w:t>
        </w:r>
      </w:hyperlink>
    </w:p>
    <w:p>
      <w:pPr>
        <w:pStyle w:val="Normal"/>
        <w:ind w:left="0" w:firstLineChars="0" w:firstLine="0" w:leftChars="0"/>
      </w:pPr>
      <w:hyperlink w:anchor="Chapter_3_17">
        <w:r>
          <w:rPr>
            <w:color w:val="0000FF" w:themeColor="hyperlink"/>
            <w:u w:val="single"/>
          </w:rPr>
          <w:t>Chapter 3</w:t>
        </w:r>
      </w:hyperlink>
    </w:p>
    <w:p>
      <w:pPr>
        <w:pStyle w:val="Normal"/>
        <w:ind w:left="0" w:firstLineChars="0" w:firstLine="0" w:leftChars="0"/>
      </w:pPr>
      <w:hyperlink w:anchor="Chapter_3_18">
        <w:r>
          <w:rPr>
            <w:color w:val="0000FF" w:themeColor="hyperlink"/>
            <w:u w:val="single"/>
          </w:rPr>
          <w:t>Chapter 3</w:t>
        </w:r>
      </w:hyperlink>
    </w:p>
    <w:p>
      <w:pPr>
        <w:pStyle w:val="Normal"/>
        <w:ind w:left="0" w:firstLineChars="0" w:firstLine="0" w:leftChars="0"/>
      </w:pPr>
      <w:hyperlink w:anchor="Chapter_3_19">
        <w:r>
          <w:rPr>
            <w:color w:val="0000FF" w:themeColor="hyperlink"/>
            <w:u w:val="single"/>
          </w:rPr>
          <w:t>Chapter 3</w:t>
        </w:r>
      </w:hyperlink>
    </w:p>
    <w:p>
      <w:pPr>
        <w:pStyle w:val="Normal"/>
        <w:ind w:left="0" w:firstLineChars="0" w:firstLine="0" w:leftChars="0"/>
      </w:pPr>
      <w:hyperlink w:anchor="Chapter_3_20">
        <w:r>
          <w:rPr>
            <w:color w:val="0000FF" w:themeColor="hyperlink"/>
            <w:u w:val="single"/>
          </w:rPr>
          <w:t>Chapter 3</w:t>
        </w:r>
      </w:hyperlink>
    </w:p>
    <w:p>
      <w:pPr>
        <w:pStyle w:val="Normal"/>
        <w:ind w:left="0" w:firstLineChars="0" w:firstLine="0" w:leftChars="0"/>
      </w:pPr>
      <w:hyperlink w:anchor="Chapter_3_21">
        <w:r>
          <w:rPr>
            <w:color w:val="0000FF" w:themeColor="hyperlink"/>
            <w:u w:val="single"/>
          </w:rPr>
          <w:t>Chapter 3</w:t>
        </w:r>
      </w:hyperlink>
    </w:p>
    <w:p>
      <w:pPr>
        <w:pStyle w:val="Normal"/>
        <w:ind w:left="0" w:firstLineChars="0" w:firstLine="0" w:leftChars="0"/>
      </w:pPr>
      <w:hyperlink w:anchor="Chapter_3_22">
        <w:r>
          <w:rPr>
            <w:color w:val="0000FF" w:themeColor="hyperlink"/>
            <w:u w:val="single"/>
          </w:rPr>
          <w:t>Chapter 3</w:t>
        </w:r>
      </w:hyperlink>
    </w:p>
    <w:p>
      <w:pPr>
        <w:pStyle w:val="Normal"/>
        <w:ind w:left="0" w:firstLineChars="0" w:firstLine="0" w:leftChars="0"/>
      </w:pPr>
      <w:hyperlink w:anchor="Chapter_3_23">
        <w:r>
          <w:rPr>
            <w:color w:val="0000FF" w:themeColor="hyperlink"/>
            <w:u w:val="single"/>
          </w:rPr>
          <w:t>Chapter 3</w:t>
        </w:r>
      </w:hyperlink>
    </w:p>
    <w:p>
      <w:pPr>
        <w:pStyle w:val="Normal"/>
        <w:ind w:left="0" w:firstLineChars="0" w:firstLine="0" w:leftChars="0"/>
      </w:pPr>
      <w:hyperlink w:anchor="Chapter_3_24">
        <w:r>
          <w:rPr>
            <w:color w:val="0000FF" w:themeColor="hyperlink"/>
            <w:u w:val="single"/>
          </w:rPr>
          <w:t>Chapter 3</w:t>
        </w:r>
      </w:hyperlink>
    </w:p>
    <w:p>
      <w:pPr>
        <w:pStyle w:val="Normal"/>
        <w:ind w:left="0" w:firstLineChars="0" w:firstLine="0" w:leftChars="0"/>
      </w:pPr>
      <w:hyperlink w:anchor="Chapter_3_25">
        <w:r>
          <w:rPr>
            <w:color w:val="0000FF" w:themeColor="hyperlink"/>
            <w:u w:val="single"/>
          </w:rPr>
          <w:t>Chapter 3</w:t>
        </w:r>
      </w:hyperlink>
    </w:p>
    <w:p>
      <w:pPr>
        <w:pStyle w:val="Normal"/>
        <w:ind w:left="0" w:firstLineChars="0" w:firstLine="0" w:leftChars="0"/>
      </w:pPr>
      <w:hyperlink w:anchor="Chapter_3_26">
        <w:r>
          <w:rPr>
            <w:color w:val="0000FF" w:themeColor="hyperlink"/>
            <w:u w:val="single"/>
          </w:rPr>
          <w:t>Chapter 3</w:t>
        </w:r>
      </w:hyperlink>
    </w:p>
    <w:p>
      <w:pPr>
        <w:pStyle w:val="Normal"/>
        <w:ind w:left="0" w:firstLineChars="0" w:firstLine="0" w:leftChars="0"/>
      </w:pPr>
      <w:hyperlink w:anchor="Chapter_3_27">
        <w:r>
          <w:rPr>
            <w:color w:val="0000FF" w:themeColor="hyperlink"/>
            <w:u w:val="single"/>
          </w:rPr>
          <w:t>Chapter 3</w:t>
        </w:r>
      </w:hyperlink>
    </w:p>
    <w:p>
      <w:pPr>
        <w:pStyle w:val="Normal"/>
        <w:ind w:left="0" w:firstLineChars="0" w:firstLine="0" w:leftChars="0"/>
      </w:pPr>
      <w:hyperlink w:anchor="Chapter_3_28">
        <w:r>
          <w:rPr>
            <w:color w:val="0000FF" w:themeColor="hyperlink"/>
            <w:u w:val="single"/>
          </w:rPr>
          <w:t>Chapter 3</w:t>
        </w:r>
      </w:hyperlink>
    </w:p>
    <w:p>
      <w:pPr>
        <w:pStyle w:val="Normal"/>
        <w:ind w:left="0" w:firstLineChars="0" w:firstLine="0" w:leftChars="0"/>
      </w:pPr>
      <w:hyperlink w:anchor="Chapter_3_29">
        <w:r>
          <w:rPr>
            <w:color w:val="0000FF" w:themeColor="hyperlink"/>
            <w:u w:val="single"/>
          </w:rPr>
          <w:t>Chapter 3</w:t>
        </w:r>
      </w:hyperlink>
    </w:p>
    <w:p>
      <w:pPr>
        <w:pStyle w:val="Normal"/>
        <w:ind w:left="0" w:firstLineChars="0" w:firstLine="0" w:leftChars="0"/>
      </w:pPr>
      <w:hyperlink w:anchor="Chapter_3_30">
        <w:r>
          <w:rPr>
            <w:color w:val="0000FF" w:themeColor="hyperlink"/>
            <w:u w:val="single"/>
          </w:rPr>
          <w:t>Chapter 3</w:t>
        </w:r>
      </w:hyperlink>
    </w:p>
    <w:p>
      <w:pPr>
        <w:pStyle w:val="Normal"/>
        <w:ind w:left="0" w:firstLineChars="0" w:firstLine="0" w:leftChars="0"/>
      </w:pPr>
      <w:hyperlink w:anchor="Chapter_3_31">
        <w:r>
          <w:rPr>
            <w:color w:val="0000FF" w:themeColor="hyperlink"/>
            <w:u w:val="single"/>
          </w:rPr>
          <w:t>Chapter 3</w:t>
        </w:r>
      </w:hyperlink>
    </w:p>
    <w:p>
      <w:pPr>
        <w:pStyle w:val="Normal"/>
        <w:ind w:left="0" w:firstLineChars="0" w:firstLine="0" w:leftChars="0"/>
      </w:pPr>
      <w:hyperlink w:anchor="Chapter_4">
        <w:r>
          <w:rPr>
            <w:color w:val="0000FF" w:themeColor="hyperlink"/>
            <w:u w:val="single"/>
          </w:rPr>
          <w:t>Chapter 4</w:t>
        </w:r>
      </w:hyperlink>
    </w:p>
    <w:p>
      <w:pPr>
        <w:pStyle w:val="Normal"/>
        <w:ind w:left="0" w:firstLineChars="0" w:firstLine="0" w:leftChars="0"/>
      </w:pPr>
      <w:hyperlink w:anchor="Chapter_4__Application_Managemen">
        <w:r>
          <w:rPr>
            <w:color w:val="0000FF" w:themeColor="hyperlink"/>
            <w:u w:val="single"/>
          </w:rPr>
          <w:t>Chapter 4: Application Management</w:t>
        </w:r>
      </w:hyperlink>
    </w:p>
    <w:p>
      <w:pPr>
        <w:pStyle w:val="Normal"/>
        <w:ind w:left="0" w:firstLineChars="0" w:firstLine="0" w:leftChars="0"/>
      </w:pPr>
      <w:hyperlink w:anchor="Chapter_4_1">
        <w:r>
          <w:rPr>
            <w:color w:val="0000FF" w:themeColor="hyperlink"/>
            <w:u w:val="single"/>
          </w:rPr>
          <w:t>Chapter 4</w:t>
        </w:r>
      </w:hyperlink>
    </w:p>
    <w:p>
      <w:pPr>
        <w:pStyle w:val="Normal"/>
        <w:ind w:left="0" w:firstLineChars="0" w:firstLine="0" w:leftChars="0"/>
      </w:pPr>
      <w:hyperlink w:anchor="Chapter_4_2">
        <w:r>
          <w:rPr>
            <w:color w:val="0000FF" w:themeColor="hyperlink"/>
            <w:u w:val="single"/>
          </w:rPr>
          <w:t>Chapter 4</w:t>
        </w:r>
      </w:hyperlink>
    </w:p>
    <w:p>
      <w:pPr>
        <w:pStyle w:val="Normal"/>
        <w:ind w:left="0" w:firstLineChars="0" w:firstLine="0" w:leftChars="0"/>
      </w:pPr>
      <w:hyperlink w:anchor="Chapter_4_3">
        <w:r>
          <w:rPr>
            <w:color w:val="0000FF" w:themeColor="hyperlink"/>
            <w:u w:val="single"/>
          </w:rPr>
          <w:t>Chapter 4</w:t>
        </w:r>
      </w:hyperlink>
    </w:p>
    <w:p>
      <w:pPr>
        <w:pStyle w:val="Normal"/>
        <w:ind w:left="0" w:firstLineChars="0" w:firstLine="0" w:leftChars="0"/>
      </w:pPr>
      <w:hyperlink w:anchor="Chapter_4_4">
        <w:r>
          <w:rPr>
            <w:color w:val="0000FF" w:themeColor="hyperlink"/>
            <w:u w:val="single"/>
          </w:rPr>
          <w:t>Chapter 4</w:t>
        </w:r>
      </w:hyperlink>
    </w:p>
    <w:p>
      <w:pPr>
        <w:pStyle w:val="Normal"/>
        <w:ind w:left="0" w:firstLineChars="0" w:firstLine="0" w:leftChars="0"/>
      </w:pPr>
      <w:hyperlink w:anchor="Chapter_4_5">
        <w:r>
          <w:rPr>
            <w:color w:val="0000FF" w:themeColor="hyperlink"/>
            <w:u w:val="single"/>
          </w:rPr>
          <w:t>Chapter 4</w:t>
        </w:r>
      </w:hyperlink>
    </w:p>
    <w:p>
      <w:pPr>
        <w:pStyle w:val="Normal"/>
        <w:ind w:left="0" w:firstLineChars="0" w:firstLine="0" w:leftChars="0"/>
      </w:pPr>
      <w:hyperlink w:anchor="Chapter_4_6">
        <w:r>
          <w:rPr>
            <w:color w:val="0000FF" w:themeColor="hyperlink"/>
            <w:u w:val="single"/>
          </w:rPr>
          <w:t>Chapter 4</w:t>
        </w:r>
      </w:hyperlink>
    </w:p>
    <w:p>
      <w:pPr>
        <w:pStyle w:val="Normal"/>
        <w:ind w:left="0" w:firstLineChars="0" w:firstLine="0" w:leftChars="0"/>
      </w:pPr>
      <w:hyperlink w:anchor="Chapter_4_7">
        <w:r>
          <w:rPr>
            <w:color w:val="0000FF" w:themeColor="hyperlink"/>
            <w:u w:val="single"/>
          </w:rPr>
          <w:t>Chapter 4</w:t>
        </w:r>
      </w:hyperlink>
    </w:p>
    <w:p>
      <w:pPr>
        <w:pStyle w:val="Normal"/>
        <w:ind w:left="0" w:firstLineChars="0" w:firstLine="0" w:leftChars="0"/>
      </w:pPr>
      <w:hyperlink w:anchor="Chapter_4_8">
        <w:r>
          <w:rPr>
            <w:color w:val="0000FF" w:themeColor="hyperlink"/>
            <w:u w:val="single"/>
          </w:rPr>
          <w:t>Chapter 4</w:t>
        </w:r>
      </w:hyperlink>
    </w:p>
    <w:p>
      <w:pPr>
        <w:pStyle w:val="Normal"/>
        <w:ind w:left="0" w:firstLineChars="0" w:firstLine="0" w:leftChars="0"/>
      </w:pPr>
      <w:hyperlink w:anchor="Chapter_4_9">
        <w:r>
          <w:rPr>
            <w:color w:val="0000FF" w:themeColor="hyperlink"/>
            <w:u w:val="single"/>
          </w:rPr>
          <w:t>Chapter 4</w:t>
        </w:r>
      </w:hyperlink>
    </w:p>
    <w:p>
      <w:pPr>
        <w:pStyle w:val="Normal"/>
        <w:ind w:left="0" w:firstLineChars="0" w:firstLine="0" w:leftChars="0"/>
      </w:pPr>
      <w:hyperlink w:anchor="Chapter_4_10">
        <w:r>
          <w:rPr>
            <w:color w:val="0000FF" w:themeColor="hyperlink"/>
            <w:u w:val="single"/>
          </w:rPr>
          <w:t>Chapter 4</w:t>
        </w:r>
      </w:hyperlink>
    </w:p>
    <w:p>
      <w:pPr>
        <w:pStyle w:val="Normal"/>
        <w:ind w:left="0" w:firstLineChars="0" w:firstLine="0" w:leftChars="0"/>
      </w:pPr>
      <w:hyperlink w:anchor="Chapter_4_11">
        <w:r>
          <w:rPr>
            <w:color w:val="0000FF" w:themeColor="hyperlink"/>
            <w:u w:val="single"/>
          </w:rPr>
          <w:t>Chapter 4</w:t>
        </w:r>
      </w:hyperlink>
    </w:p>
    <w:p>
      <w:pPr>
        <w:pStyle w:val="Normal"/>
        <w:ind w:left="0" w:firstLineChars="0" w:firstLine="0" w:leftChars="0"/>
      </w:pPr>
      <w:hyperlink w:anchor="Chapter_4_12">
        <w:r>
          <w:rPr>
            <w:color w:val="0000FF" w:themeColor="hyperlink"/>
            <w:u w:val="single"/>
          </w:rPr>
          <w:t>Chapter 4</w:t>
        </w:r>
      </w:hyperlink>
    </w:p>
    <w:p>
      <w:pPr>
        <w:pStyle w:val="Normal"/>
        <w:ind w:left="0" w:firstLineChars="0" w:firstLine="0" w:leftChars="0"/>
      </w:pPr>
      <w:hyperlink w:anchor="Chapter_4_13">
        <w:r>
          <w:rPr>
            <w:color w:val="0000FF" w:themeColor="hyperlink"/>
            <w:u w:val="single"/>
          </w:rPr>
          <w:t>Chapter 4</w:t>
        </w:r>
      </w:hyperlink>
    </w:p>
    <w:p>
      <w:pPr>
        <w:pStyle w:val="Normal"/>
        <w:ind w:left="0" w:firstLineChars="0" w:firstLine="0" w:leftChars="0"/>
      </w:pPr>
      <w:hyperlink w:anchor="Chapter_4_14">
        <w:r>
          <w:rPr>
            <w:color w:val="0000FF" w:themeColor="hyperlink"/>
            <w:u w:val="single"/>
          </w:rPr>
          <w:t>Chapter 4</w:t>
        </w:r>
      </w:hyperlink>
    </w:p>
    <w:p>
      <w:pPr>
        <w:pStyle w:val="Normal"/>
        <w:ind w:left="0" w:firstLineChars="0" w:firstLine="0" w:leftChars="0"/>
      </w:pPr>
      <w:hyperlink w:anchor="Chapter_4_15">
        <w:r>
          <w:rPr>
            <w:color w:val="0000FF" w:themeColor="hyperlink"/>
            <w:u w:val="single"/>
          </w:rPr>
          <w:t>Chapter 4</w:t>
        </w:r>
      </w:hyperlink>
    </w:p>
    <w:p>
      <w:pPr>
        <w:pStyle w:val="Normal"/>
        <w:ind w:left="0" w:firstLineChars="0" w:firstLine="0" w:leftChars="0"/>
      </w:pPr>
      <w:hyperlink w:anchor="Chapter_4_16">
        <w:r>
          <w:rPr>
            <w:color w:val="0000FF" w:themeColor="hyperlink"/>
            <w:u w:val="single"/>
          </w:rPr>
          <w:t>Chapter 4</w:t>
        </w:r>
      </w:hyperlink>
    </w:p>
    <w:p>
      <w:pPr>
        <w:pStyle w:val="Normal"/>
        <w:ind w:left="0" w:firstLineChars="0" w:firstLine="0" w:leftChars="0"/>
      </w:pPr>
      <w:hyperlink w:anchor="Chapter_4_17">
        <w:r>
          <w:rPr>
            <w:color w:val="0000FF" w:themeColor="hyperlink"/>
            <w:u w:val="single"/>
          </w:rPr>
          <w:t>Chapter 4</w:t>
        </w:r>
      </w:hyperlink>
    </w:p>
    <w:p>
      <w:pPr>
        <w:pStyle w:val="Normal"/>
        <w:ind w:left="0" w:firstLineChars="0" w:firstLine="0" w:leftChars="0"/>
      </w:pPr>
      <w:hyperlink w:anchor="Chapter_4_18">
        <w:r>
          <w:rPr>
            <w:color w:val="0000FF" w:themeColor="hyperlink"/>
            <w:u w:val="single"/>
          </w:rPr>
          <w:t>Chapter 4</w:t>
        </w:r>
      </w:hyperlink>
    </w:p>
    <w:p>
      <w:pPr>
        <w:pStyle w:val="Normal"/>
        <w:ind w:left="0" w:firstLineChars="0" w:firstLine="0" w:leftChars="0"/>
      </w:pPr>
      <w:hyperlink w:anchor="Chapter_4_19">
        <w:r>
          <w:rPr>
            <w:color w:val="0000FF" w:themeColor="hyperlink"/>
            <w:u w:val="single"/>
          </w:rPr>
          <w:t>Chapter 4</w:t>
        </w:r>
      </w:hyperlink>
    </w:p>
    <w:p>
      <w:pPr>
        <w:pStyle w:val="Normal"/>
        <w:ind w:left="0" w:firstLineChars="0" w:firstLine="0" w:leftChars="0"/>
      </w:pPr>
      <w:hyperlink w:anchor="Chapter_4_20">
        <w:r>
          <w:rPr>
            <w:color w:val="0000FF" w:themeColor="hyperlink"/>
            <w:u w:val="single"/>
          </w:rPr>
          <w:t>Chapter 4</w:t>
        </w:r>
      </w:hyperlink>
    </w:p>
    <w:p>
      <w:pPr>
        <w:pStyle w:val="Normal"/>
        <w:ind w:left="0" w:firstLineChars="0" w:firstLine="0" w:leftChars="0"/>
      </w:pPr>
      <w:hyperlink w:anchor="Chapter_4_21">
        <w:r>
          <w:rPr>
            <w:color w:val="0000FF" w:themeColor="hyperlink"/>
            <w:u w:val="single"/>
          </w:rPr>
          <w:t>Chapter 4</w:t>
        </w:r>
      </w:hyperlink>
    </w:p>
    <w:p>
      <w:pPr>
        <w:pStyle w:val="Normal"/>
        <w:ind w:left="0" w:firstLineChars="0" w:firstLine="0" w:leftChars="0"/>
      </w:pPr>
      <w:hyperlink w:anchor="Chapter_4_22">
        <w:r>
          <w:rPr>
            <w:color w:val="0000FF" w:themeColor="hyperlink"/>
            <w:u w:val="single"/>
          </w:rPr>
          <w:t>Chapter 4</w:t>
        </w:r>
      </w:hyperlink>
    </w:p>
    <w:p>
      <w:pPr>
        <w:pStyle w:val="Normal"/>
        <w:ind w:left="0" w:firstLineChars="0" w:firstLine="0" w:leftChars="0"/>
      </w:pPr>
      <w:hyperlink w:anchor="Chapter_4_23">
        <w:r>
          <w:rPr>
            <w:color w:val="0000FF" w:themeColor="hyperlink"/>
            <w:u w:val="single"/>
          </w:rPr>
          <w:t>Chapter 4</w:t>
        </w:r>
      </w:hyperlink>
    </w:p>
    <w:p>
      <w:pPr>
        <w:pStyle w:val="Normal"/>
        <w:ind w:left="0" w:firstLineChars="0" w:firstLine="0" w:leftChars="0"/>
      </w:pPr>
      <w:hyperlink w:anchor="Chapter_4_24">
        <w:r>
          <w:rPr>
            <w:color w:val="0000FF" w:themeColor="hyperlink"/>
            <w:u w:val="single"/>
          </w:rPr>
          <w:t>Chapter 4</w:t>
        </w:r>
      </w:hyperlink>
    </w:p>
    <w:p>
      <w:pPr>
        <w:pStyle w:val="Normal"/>
        <w:ind w:left="0" w:firstLineChars="0" w:firstLine="0" w:leftChars="0"/>
      </w:pPr>
      <w:hyperlink w:anchor="Chapter_4_25">
        <w:r>
          <w:rPr>
            <w:color w:val="0000FF" w:themeColor="hyperlink"/>
            <w:u w:val="single"/>
          </w:rPr>
          <w:t>Chapter 4</w:t>
        </w:r>
      </w:hyperlink>
    </w:p>
    <w:p>
      <w:pPr>
        <w:pStyle w:val="Normal"/>
        <w:ind w:left="0" w:firstLineChars="0" w:firstLine="0" w:leftChars="0"/>
      </w:pPr>
      <w:hyperlink w:anchor="Chapter_4_26">
        <w:r>
          <w:rPr>
            <w:color w:val="0000FF" w:themeColor="hyperlink"/>
            <w:u w:val="single"/>
          </w:rPr>
          <w:t>Chapter 4</w:t>
        </w:r>
      </w:hyperlink>
    </w:p>
    <w:p>
      <w:pPr>
        <w:pStyle w:val="Normal"/>
        <w:ind w:left="0" w:firstLineChars="0" w:firstLine="0" w:leftChars="0"/>
      </w:pPr>
      <w:hyperlink w:anchor="Chapter_4_27">
        <w:r>
          <w:rPr>
            <w:color w:val="0000FF" w:themeColor="hyperlink"/>
            <w:u w:val="single"/>
          </w:rPr>
          <w:t>Chapter 4</w:t>
        </w:r>
      </w:hyperlink>
    </w:p>
    <w:p>
      <w:pPr>
        <w:pStyle w:val="Normal"/>
        <w:ind w:left="0" w:firstLineChars="0" w:firstLine="0" w:leftChars="0"/>
      </w:pPr>
      <w:hyperlink w:anchor="Chapter_4_28">
        <w:r>
          <w:rPr>
            <w:color w:val="0000FF" w:themeColor="hyperlink"/>
            <w:u w:val="single"/>
          </w:rPr>
          <w:t>Chapter 4</w:t>
        </w:r>
      </w:hyperlink>
    </w:p>
    <w:p>
      <w:pPr>
        <w:pStyle w:val="Normal"/>
        <w:ind w:left="0" w:firstLineChars="0" w:firstLine="0" w:leftChars="0"/>
      </w:pPr>
      <w:hyperlink w:anchor="Chapter_5">
        <w:r>
          <w:rPr>
            <w:color w:val="0000FF" w:themeColor="hyperlink"/>
            <w:u w:val="single"/>
          </w:rPr>
          <w:t>Chapter 5</w:t>
        </w:r>
      </w:hyperlink>
    </w:p>
    <w:p>
      <w:pPr>
        <w:pStyle w:val="Normal"/>
        <w:ind w:left="0" w:firstLineChars="0" w:firstLine="0" w:leftChars="0"/>
      </w:pPr>
      <w:hyperlink w:anchor="Chapter_5__Desktop_Security">
        <w:r>
          <w:rPr>
            <w:color w:val="0000FF" w:themeColor="hyperlink"/>
            <w:u w:val="single"/>
          </w:rPr>
          <w:t>Chapter 5: Desktop Security</w:t>
        </w:r>
      </w:hyperlink>
    </w:p>
    <w:p>
      <w:pPr>
        <w:pStyle w:val="Normal"/>
        <w:ind w:left="0" w:firstLineChars="0" w:firstLine="0" w:leftChars="0"/>
      </w:pPr>
      <w:hyperlink w:anchor="Chapter_5_1">
        <w:r>
          <w:rPr>
            <w:color w:val="0000FF" w:themeColor="hyperlink"/>
            <w:u w:val="single"/>
          </w:rPr>
          <w:t>Chapter 5</w:t>
        </w:r>
      </w:hyperlink>
    </w:p>
    <w:p>
      <w:pPr>
        <w:pStyle w:val="Normal"/>
        <w:ind w:left="0" w:firstLineChars="0" w:firstLine="0" w:leftChars="0"/>
      </w:pPr>
      <w:hyperlink w:anchor="Chapter_5_2">
        <w:r>
          <w:rPr>
            <w:color w:val="0000FF" w:themeColor="hyperlink"/>
            <w:u w:val="single"/>
          </w:rPr>
          <w:t>Chapter 5</w:t>
        </w:r>
      </w:hyperlink>
    </w:p>
    <w:p>
      <w:pPr>
        <w:pStyle w:val="Normal"/>
        <w:ind w:left="0" w:firstLineChars="0" w:firstLine="0" w:leftChars="0"/>
      </w:pPr>
      <w:hyperlink w:anchor="Chapter_5_3">
        <w:r>
          <w:rPr>
            <w:color w:val="0000FF" w:themeColor="hyperlink"/>
            <w:u w:val="single"/>
          </w:rPr>
          <w:t>Chapter 5</w:t>
        </w:r>
      </w:hyperlink>
    </w:p>
    <w:p>
      <w:pPr>
        <w:pStyle w:val="Normal"/>
        <w:ind w:left="0" w:firstLineChars="0" w:firstLine="0" w:leftChars="0"/>
      </w:pPr>
      <w:hyperlink w:anchor="Chapter_5_4">
        <w:r>
          <w:rPr>
            <w:color w:val="0000FF" w:themeColor="hyperlink"/>
            <w:u w:val="single"/>
          </w:rPr>
          <w:t>Chapter 5</w:t>
        </w:r>
      </w:hyperlink>
    </w:p>
    <w:p>
      <w:pPr>
        <w:pStyle w:val="Normal"/>
        <w:ind w:left="0" w:firstLineChars="0" w:firstLine="0" w:leftChars="0"/>
      </w:pPr>
      <w:hyperlink w:anchor="Chapter_5_5">
        <w:r>
          <w:rPr>
            <w:color w:val="0000FF" w:themeColor="hyperlink"/>
            <w:u w:val="single"/>
          </w:rPr>
          <w:t>Chapter 5</w:t>
        </w:r>
      </w:hyperlink>
    </w:p>
    <w:p>
      <w:pPr>
        <w:pStyle w:val="Normal"/>
        <w:ind w:left="0" w:firstLineChars="0" w:firstLine="0" w:leftChars="0"/>
      </w:pPr>
      <w:hyperlink w:anchor="Chapter_5_6">
        <w:r>
          <w:rPr>
            <w:color w:val="0000FF" w:themeColor="hyperlink"/>
            <w:u w:val="single"/>
          </w:rPr>
          <w:t>Chapter 5</w:t>
        </w:r>
      </w:hyperlink>
    </w:p>
    <w:p>
      <w:pPr>
        <w:pStyle w:val="Normal"/>
        <w:ind w:left="0" w:firstLineChars="0" w:firstLine="0" w:leftChars="0"/>
      </w:pPr>
      <w:hyperlink w:anchor="Chapter_5_7">
        <w:r>
          <w:rPr>
            <w:color w:val="0000FF" w:themeColor="hyperlink"/>
            <w:u w:val="single"/>
          </w:rPr>
          <w:t>Chapter 5</w:t>
        </w:r>
      </w:hyperlink>
    </w:p>
    <w:p>
      <w:pPr>
        <w:pStyle w:val="Normal"/>
        <w:ind w:left="0" w:firstLineChars="0" w:firstLine="0" w:leftChars="0"/>
      </w:pPr>
      <w:hyperlink w:anchor="Chapter_5_8">
        <w:r>
          <w:rPr>
            <w:color w:val="0000FF" w:themeColor="hyperlink"/>
            <w:u w:val="single"/>
          </w:rPr>
          <w:t>Chapter 5</w:t>
        </w:r>
      </w:hyperlink>
    </w:p>
    <w:p>
      <w:pPr>
        <w:pStyle w:val="Normal"/>
        <w:ind w:left="0" w:firstLineChars="0" w:firstLine="0" w:leftChars="0"/>
      </w:pPr>
      <w:hyperlink w:anchor="Chapter_5_9">
        <w:r>
          <w:rPr>
            <w:color w:val="0000FF" w:themeColor="hyperlink"/>
            <w:u w:val="single"/>
          </w:rPr>
          <w:t>Chapter 5</w:t>
        </w:r>
      </w:hyperlink>
    </w:p>
    <w:p>
      <w:pPr>
        <w:pStyle w:val="Normal"/>
        <w:ind w:left="0" w:firstLineChars="0" w:firstLine="0" w:leftChars="0"/>
      </w:pPr>
      <w:hyperlink w:anchor="Chapter_5_10">
        <w:r>
          <w:rPr>
            <w:color w:val="0000FF" w:themeColor="hyperlink"/>
            <w:u w:val="single"/>
          </w:rPr>
          <w:t>Chapter 5</w:t>
        </w:r>
      </w:hyperlink>
    </w:p>
    <w:p>
      <w:pPr>
        <w:pStyle w:val="Normal"/>
        <w:ind w:left="0" w:firstLineChars="0" w:firstLine="0" w:leftChars="0"/>
      </w:pPr>
      <w:hyperlink w:anchor="Chapter_5_11">
        <w:r>
          <w:rPr>
            <w:color w:val="0000FF" w:themeColor="hyperlink"/>
            <w:u w:val="single"/>
          </w:rPr>
          <w:t>Chapter 5</w:t>
        </w:r>
      </w:hyperlink>
    </w:p>
    <w:p>
      <w:pPr>
        <w:pStyle w:val="Normal"/>
        <w:ind w:left="0" w:firstLineChars="0" w:firstLine="0" w:leftChars="0"/>
      </w:pPr>
      <w:hyperlink w:anchor="Chapter_5_12">
        <w:r>
          <w:rPr>
            <w:color w:val="0000FF" w:themeColor="hyperlink"/>
            <w:u w:val="single"/>
          </w:rPr>
          <w:t>Chapter 5</w:t>
        </w:r>
      </w:hyperlink>
    </w:p>
    <w:p>
      <w:pPr>
        <w:pStyle w:val="Normal"/>
        <w:ind w:left="0" w:firstLineChars="0" w:firstLine="0" w:leftChars="0"/>
      </w:pPr>
      <w:hyperlink w:anchor="Chapter_5_13">
        <w:r>
          <w:rPr>
            <w:color w:val="0000FF" w:themeColor="hyperlink"/>
            <w:u w:val="single"/>
          </w:rPr>
          <w:t>Chapter 5</w:t>
        </w:r>
      </w:hyperlink>
    </w:p>
    <w:p>
      <w:pPr>
        <w:pStyle w:val="Normal"/>
        <w:ind w:left="0" w:firstLineChars="0" w:firstLine="0" w:leftChars="0"/>
      </w:pPr>
      <w:hyperlink w:anchor="Chapter_5_14">
        <w:r>
          <w:rPr>
            <w:color w:val="0000FF" w:themeColor="hyperlink"/>
            <w:u w:val="single"/>
          </w:rPr>
          <w:t>Chapter 5</w:t>
        </w:r>
      </w:hyperlink>
    </w:p>
    <w:p>
      <w:pPr>
        <w:pStyle w:val="Normal"/>
        <w:ind w:left="0" w:firstLineChars="0" w:firstLine="0" w:leftChars="0"/>
      </w:pPr>
      <w:hyperlink w:anchor="Chapter_5_15">
        <w:r>
          <w:rPr>
            <w:color w:val="0000FF" w:themeColor="hyperlink"/>
            <w:u w:val="single"/>
          </w:rPr>
          <w:t>Chapter 5</w:t>
        </w:r>
      </w:hyperlink>
    </w:p>
    <w:p>
      <w:pPr>
        <w:pStyle w:val="Normal"/>
        <w:ind w:left="0" w:firstLineChars="0" w:firstLine="0" w:leftChars="0"/>
      </w:pPr>
      <w:hyperlink w:anchor="Chapter_5_16">
        <w:r>
          <w:rPr>
            <w:color w:val="0000FF" w:themeColor="hyperlink"/>
            <w:u w:val="single"/>
          </w:rPr>
          <w:t>Chapter 5</w:t>
        </w:r>
      </w:hyperlink>
    </w:p>
    <w:p>
      <w:pPr>
        <w:pStyle w:val="Normal"/>
        <w:ind w:left="0" w:firstLineChars="0" w:firstLine="0" w:leftChars="0"/>
      </w:pPr>
      <w:hyperlink w:anchor="Chapter_5_17">
        <w:r>
          <w:rPr>
            <w:color w:val="0000FF" w:themeColor="hyperlink"/>
            <w:u w:val="single"/>
          </w:rPr>
          <w:t>Chapter 5</w:t>
        </w:r>
      </w:hyperlink>
    </w:p>
    <w:p>
      <w:pPr>
        <w:pStyle w:val="Normal"/>
        <w:ind w:left="0" w:firstLineChars="0" w:firstLine="0" w:leftChars="0"/>
      </w:pPr>
      <w:hyperlink w:anchor="Chapter_5_18">
        <w:r>
          <w:rPr>
            <w:color w:val="0000FF" w:themeColor="hyperlink"/>
            <w:u w:val="single"/>
          </w:rPr>
          <w:t>Chapter 5</w:t>
        </w:r>
      </w:hyperlink>
    </w:p>
    <w:p>
      <w:pPr>
        <w:pStyle w:val="Normal"/>
        <w:ind w:left="0" w:firstLineChars="0" w:firstLine="0" w:leftChars="0"/>
      </w:pPr>
      <w:hyperlink w:anchor="Chapter_5_19">
        <w:r>
          <w:rPr>
            <w:color w:val="0000FF" w:themeColor="hyperlink"/>
            <w:u w:val="single"/>
          </w:rPr>
          <w:t>Chapter 5</w:t>
        </w:r>
      </w:hyperlink>
    </w:p>
    <w:p>
      <w:pPr>
        <w:pStyle w:val="Normal"/>
        <w:ind w:left="0" w:firstLineChars="0" w:firstLine="0" w:leftChars="0"/>
      </w:pPr>
      <w:hyperlink w:anchor="Chapter_5_20">
        <w:r>
          <w:rPr>
            <w:color w:val="0000FF" w:themeColor="hyperlink"/>
            <w:u w:val="single"/>
          </w:rPr>
          <w:t>Chapter 5</w:t>
        </w:r>
      </w:hyperlink>
    </w:p>
    <w:p>
      <w:pPr>
        <w:pStyle w:val="Normal"/>
        <w:ind w:left="0" w:firstLineChars="0" w:firstLine="0" w:leftChars="0"/>
      </w:pPr>
      <w:hyperlink w:anchor="Chapter_5_21">
        <w:r>
          <w:rPr>
            <w:color w:val="0000FF" w:themeColor="hyperlink"/>
            <w:u w:val="single"/>
          </w:rPr>
          <w:t>Chapter 5</w:t>
        </w:r>
      </w:hyperlink>
    </w:p>
    <w:p>
      <w:pPr>
        <w:pStyle w:val="Normal"/>
        <w:ind w:left="0" w:firstLineChars="0" w:firstLine="0" w:leftChars="0"/>
      </w:pPr>
      <w:hyperlink w:anchor="Chapter_5_22">
        <w:r>
          <w:rPr>
            <w:color w:val="0000FF" w:themeColor="hyperlink"/>
            <w:u w:val="single"/>
          </w:rPr>
          <w:t>Chapter 5</w:t>
        </w:r>
      </w:hyperlink>
    </w:p>
    <w:p>
      <w:pPr>
        <w:pStyle w:val="Normal"/>
        <w:ind w:left="0" w:firstLineChars="0" w:firstLine="0" w:leftChars="0"/>
      </w:pPr>
      <w:hyperlink w:anchor="Chapter_5_23">
        <w:r>
          <w:rPr>
            <w:color w:val="0000FF" w:themeColor="hyperlink"/>
            <w:u w:val="single"/>
          </w:rPr>
          <w:t>Chapter 5</w:t>
        </w:r>
      </w:hyperlink>
    </w:p>
    <w:p>
      <w:pPr>
        <w:pStyle w:val="Normal"/>
        <w:ind w:left="0" w:firstLineChars="0" w:firstLine="0" w:leftChars="0"/>
      </w:pPr>
      <w:hyperlink w:anchor="Chapter_5_24">
        <w:r>
          <w:rPr>
            <w:color w:val="0000FF" w:themeColor="hyperlink"/>
            <w:u w:val="single"/>
          </w:rPr>
          <w:t>Chapter 5</w:t>
        </w:r>
      </w:hyperlink>
    </w:p>
    <w:p>
      <w:pPr>
        <w:pStyle w:val="Normal"/>
        <w:ind w:left="0" w:firstLineChars="0" w:firstLine="0" w:leftChars="0"/>
      </w:pPr>
      <w:hyperlink w:anchor="Chapter_5_25">
        <w:r>
          <w:rPr>
            <w:color w:val="0000FF" w:themeColor="hyperlink"/>
            <w:u w:val="single"/>
          </w:rPr>
          <w:t>Chapter 5</w:t>
        </w:r>
      </w:hyperlink>
    </w:p>
    <w:p>
      <w:pPr>
        <w:pStyle w:val="Normal"/>
        <w:ind w:left="0" w:firstLineChars="0" w:firstLine="0" w:leftChars="0"/>
      </w:pPr>
      <w:hyperlink w:anchor="Chapter_5_26">
        <w:r>
          <w:rPr>
            <w:color w:val="0000FF" w:themeColor="hyperlink"/>
            <w:u w:val="single"/>
          </w:rPr>
          <w:t>Chapter 5</w:t>
        </w:r>
      </w:hyperlink>
    </w:p>
    <w:p>
      <w:pPr>
        <w:pStyle w:val="Normal"/>
        <w:ind w:left="0" w:firstLineChars="0" w:firstLine="0" w:leftChars="0"/>
      </w:pPr>
      <w:hyperlink w:anchor="Chapter_5_27">
        <w:r>
          <w:rPr>
            <w:color w:val="0000FF" w:themeColor="hyperlink"/>
            <w:u w:val="single"/>
          </w:rPr>
          <w:t>Chapter 5</w:t>
        </w:r>
      </w:hyperlink>
    </w:p>
    <w:p>
      <w:pPr>
        <w:pStyle w:val="Normal"/>
        <w:ind w:left="0" w:firstLineChars="0" w:firstLine="0" w:leftChars="0"/>
      </w:pPr>
      <w:hyperlink w:anchor="Chapter_6">
        <w:r>
          <w:rPr>
            <w:color w:val="0000FF" w:themeColor="hyperlink"/>
            <w:u w:val="single"/>
          </w:rPr>
          <w:t>Chapter 6</w:t>
        </w:r>
      </w:hyperlink>
    </w:p>
    <w:p>
      <w:pPr>
        <w:pStyle w:val="Normal"/>
        <w:ind w:left="0" w:firstLineChars="0" w:firstLine="0" w:leftChars="0"/>
      </w:pPr>
      <w:hyperlink w:anchor="Chapter_6__Desktop_Support">
        <w:r>
          <w:rPr>
            <w:color w:val="0000FF" w:themeColor="hyperlink"/>
            <w:u w:val="single"/>
          </w:rPr>
          <w:t>Chapter 6: Desktop Support</w:t>
        </w:r>
      </w:hyperlink>
    </w:p>
    <w:p>
      <w:pPr>
        <w:pStyle w:val="Normal"/>
        <w:ind w:left="0" w:firstLineChars="0" w:firstLine="0" w:leftChars="0"/>
      </w:pPr>
      <w:hyperlink w:anchor="Chapter_6_1">
        <w:r>
          <w:rPr>
            <w:color w:val="0000FF" w:themeColor="hyperlink"/>
            <w:u w:val="single"/>
          </w:rPr>
          <w:t>Chapter 6</w:t>
        </w:r>
      </w:hyperlink>
    </w:p>
    <w:p>
      <w:pPr>
        <w:pStyle w:val="Normal"/>
        <w:ind w:left="0" w:firstLineChars="0" w:firstLine="0" w:leftChars="0"/>
      </w:pPr>
      <w:hyperlink w:anchor="Chapter_6_2">
        <w:r>
          <w:rPr>
            <w:color w:val="0000FF" w:themeColor="hyperlink"/>
            <w:u w:val="single"/>
          </w:rPr>
          <w:t>Chapter 6</w:t>
        </w:r>
      </w:hyperlink>
    </w:p>
    <w:p>
      <w:pPr>
        <w:pStyle w:val="Normal"/>
        <w:ind w:left="0" w:firstLineChars="0" w:firstLine="0" w:leftChars="0"/>
      </w:pPr>
      <w:hyperlink w:anchor="Chapter_6_3">
        <w:r>
          <w:rPr>
            <w:color w:val="0000FF" w:themeColor="hyperlink"/>
            <w:u w:val="single"/>
          </w:rPr>
          <w:t>Chapter 6</w:t>
        </w:r>
      </w:hyperlink>
    </w:p>
    <w:p>
      <w:pPr>
        <w:pStyle w:val="Normal"/>
        <w:ind w:left="0" w:firstLineChars="0" w:firstLine="0" w:leftChars="0"/>
      </w:pPr>
      <w:hyperlink w:anchor="Chapter_6_4">
        <w:r>
          <w:rPr>
            <w:color w:val="0000FF" w:themeColor="hyperlink"/>
            <w:u w:val="single"/>
          </w:rPr>
          <w:t>Chapter 6</w:t>
        </w:r>
      </w:hyperlink>
    </w:p>
    <w:p>
      <w:pPr>
        <w:pStyle w:val="Normal"/>
        <w:ind w:left="0" w:firstLineChars="0" w:firstLine="0" w:leftChars="0"/>
      </w:pPr>
      <w:hyperlink w:anchor="Chapter_6_5">
        <w:r>
          <w:rPr>
            <w:color w:val="0000FF" w:themeColor="hyperlink"/>
            <w:u w:val="single"/>
          </w:rPr>
          <w:t>Chapter 6</w:t>
        </w:r>
      </w:hyperlink>
    </w:p>
    <w:p>
      <w:pPr>
        <w:pStyle w:val="Normal"/>
        <w:ind w:left="0" w:firstLineChars="0" w:firstLine="0" w:leftChars="0"/>
      </w:pPr>
      <w:hyperlink w:anchor="Chapter_6_6">
        <w:r>
          <w:rPr>
            <w:color w:val="0000FF" w:themeColor="hyperlink"/>
            <w:u w:val="single"/>
          </w:rPr>
          <w:t>Chapter 6</w:t>
        </w:r>
      </w:hyperlink>
    </w:p>
    <w:p>
      <w:pPr>
        <w:pStyle w:val="Normal"/>
        <w:ind w:left="0" w:firstLineChars="0" w:firstLine="0" w:leftChars="0"/>
      </w:pPr>
      <w:hyperlink w:anchor="Chapter_6_7">
        <w:r>
          <w:rPr>
            <w:color w:val="0000FF" w:themeColor="hyperlink"/>
            <w:u w:val="single"/>
          </w:rPr>
          <w:t>Chapter 6</w:t>
        </w:r>
      </w:hyperlink>
    </w:p>
    <w:p>
      <w:pPr>
        <w:pStyle w:val="Normal"/>
        <w:ind w:left="0" w:firstLineChars="0" w:firstLine="0" w:leftChars="0"/>
      </w:pPr>
      <w:hyperlink w:anchor="Chapter_6_8">
        <w:r>
          <w:rPr>
            <w:color w:val="0000FF" w:themeColor="hyperlink"/>
            <w:u w:val="single"/>
          </w:rPr>
          <w:t>Chapter 6</w:t>
        </w:r>
      </w:hyperlink>
    </w:p>
    <w:p>
      <w:pPr>
        <w:pStyle w:val="Normal"/>
        <w:ind w:left="0" w:firstLineChars="0" w:firstLine="0" w:leftChars="0"/>
      </w:pPr>
      <w:hyperlink w:anchor="Chapter_6_9">
        <w:r>
          <w:rPr>
            <w:color w:val="0000FF" w:themeColor="hyperlink"/>
            <w:u w:val="single"/>
          </w:rPr>
          <w:t>Chapter 6</w:t>
        </w:r>
      </w:hyperlink>
    </w:p>
    <w:p>
      <w:pPr>
        <w:pStyle w:val="Normal"/>
        <w:ind w:left="0" w:firstLineChars="0" w:firstLine="0" w:leftChars="0"/>
      </w:pPr>
      <w:hyperlink w:anchor="Chapter_6_10">
        <w:r>
          <w:rPr>
            <w:color w:val="0000FF" w:themeColor="hyperlink"/>
            <w:u w:val="single"/>
          </w:rPr>
          <w:t>Chapter 6</w:t>
        </w:r>
      </w:hyperlink>
    </w:p>
    <w:p>
      <w:pPr>
        <w:pStyle w:val="Normal"/>
        <w:ind w:left="0" w:firstLineChars="0" w:firstLine="0" w:leftChars="0"/>
      </w:pPr>
      <w:hyperlink w:anchor="Chapter_6_11">
        <w:r>
          <w:rPr>
            <w:color w:val="0000FF" w:themeColor="hyperlink"/>
            <w:u w:val="single"/>
          </w:rPr>
          <w:t>Chapter 6</w:t>
        </w:r>
      </w:hyperlink>
    </w:p>
    <w:p>
      <w:pPr>
        <w:pStyle w:val="Normal"/>
        <w:ind w:left="0" w:firstLineChars="0" w:firstLine="0" w:leftChars="0"/>
      </w:pPr>
      <w:hyperlink w:anchor="Chapter_6_12">
        <w:r>
          <w:rPr>
            <w:color w:val="0000FF" w:themeColor="hyperlink"/>
            <w:u w:val="single"/>
          </w:rPr>
          <w:t>Chapter 6</w:t>
        </w:r>
      </w:hyperlink>
    </w:p>
    <w:p>
      <w:pPr>
        <w:pStyle w:val="Normal"/>
        <w:ind w:left="0" w:firstLineChars="0" w:firstLine="0" w:leftChars="0"/>
      </w:pPr>
      <w:hyperlink w:anchor="Chapter_6_13">
        <w:r>
          <w:rPr>
            <w:color w:val="0000FF" w:themeColor="hyperlink"/>
            <w:u w:val="single"/>
          </w:rPr>
          <w:t>Chapter 6</w:t>
        </w:r>
      </w:hyperlink>
    </w:p>
    <w:p>
      <w:pPr>
        <w:pStyle w:val="Normal"/>
        <w:ind w:left="0" w:firstLineChars="0" w:firstLine="0" w:leftChars="0"/>
      </w:pPr>
      <w:hyperlink w:anchor="Chapter_6_14">
        <w:r>
          <w:rPr>
            <w:color w:val="0000FF" w:themeColor="hyperlink"/>
            <w:u w:val="single"/>
          </w:rPr>
          <w:t>Chapter 6</w:t>
        </w:r>
      </w:hyperlink>
    </w:p>
    <w:p>
      <w:pPr>
        <w:pStyle w:val="Normal"/>
        <w:ind w:left="0" w:firstLineChars="0" w:firstLine="0" w:leftChars="0"/>
      </w:pPr>
      <w:hyperlink w:anchor="Chapter_6_15">
        <w:r>
          <w:rPr>
            <w:color w:val="0000FF" w:themeColor="hyperlink"/>
            <w:u w:val="single"/>
          </w:rPr>
          <w:t>Chapter 6</w:t>
        </w:r>
      </w:hyperlink>
    </w:p>
    <w:p>
      <w:pPr>
        <w:pStyle w:val="Normal"/>
        <w:ind w:left="0" w:firstLineChars="0" w:firstLine="0" w:leftChars="0"/>
      </w:pPr>
      <w:hyperlink w:anchor="Chapter_6_16">
        <w:r>
          <w:rPr>
            <w:color w:val="0000FF" w:themeColor="hyperlink"/>
            <w:u w:val="single"/>
          </w:rPr>
          <w:t>Chapter 6</w:t>
        </w:r>
      </w:hyperlink>
    </w:p>
    <w:p>
      <w:pPr>
        <w:pStyle w:val="Normal"/>
        <w:ind w:left="0" w:firstLineChars="0" w:firstLine="0" w:leftChars="0"/>
      </w:pPr>
      <w:hyperlink w:anchor="Chapter_6_17">
        <w:r>
          <w:rPr>
            <w:color w:val="0000FF" w:themeColor="hyperlink"/>
            <w:u w:val="single"/>
          </w:rPr>
          <w:t>Chapter 6</w:t>
        </w:r>
      </w:hyperlink>
    </w:p>
    <w:p>
      <w:pPr>
        <w:pStyle w:val="Normal"/>
        <w:ind w:left="0" w:firstLineChars="0" w:firstLine="0" w:leftChars="0"/>
      </w:pPr>
      <w:hyperlink w:anchor="Chapter_6_18">
        <w:r>
          <w:rPr>
            <w:color w:val="0000FF" w:themeColor="hyperlink"/>
            <w:u w:val="single"/>
          </w:rPr>
          <w:t>Chapter 6</w:t>
        </w:r>
      </w:hyperlink>
    </w:p>
    <w:p>
      <w:pPr>
        <w:pStyle w:val="Normal"/>
        <w:ind w:left="0" w:firstLineChars="0" w:firstLine="0" w:leftChars="0"/>
      </w:pPr>
      <w:hyperlink w:anchor="Chapter_6_19">
        <w:r>
          <w:rPr>
            <w:color w:val="0000FF" w:themeColor="hyperlink"/>
            <w:u w:val="single"/>
          </w:rPr>
          <w:t>Chapter 6</w:t>
        </w:r>
      </w:hyperlink>
    </w:p>
    <w:p>
      <w:pPr>
        <w:pStyle w:val="Normal"/>
        <w:ind w:left="0" w:firstLineChars="0" w:firstLine="0" w:leftChars="0"/>
      </w:pPr>
      <w:hyperlink w:anchor="Chapter_6_20">
        <w:r>
          <w:rPr>
            <w:color w:val="0000FF" w:themeColor="hyperlink"/>
            <w:u w:val="single"/>
          </w:rPr>
          <w:t>Chapter 6</w:t>
        </w:r>
      </w:hyperlink>
    </w:p>
    <w:p>
      <w:pPr>
        <w:pStyle w:val="Normal"/>
        <w:ind w:left="0" w:firstLineChars="0" w:firstLine="0" w:leftChars="0"/>
      </w:pPr>
      <w:hyperlink w:anchor="Chapter_7">
        <w:r>
          <w:rPr>
            <w:color w:val="0000FF" w:themeColor="hyperlink"/>
            <w:u w:val="single"/>
          </w:rPr>
          <w:t>Chapter 7</w:t>
        </w:r>
      </w:hyperlink>
    </w:p>
    <w:p>
      <w:pPr>
        <w:pStyle w:val="Normal"/>
        <w:ind w:left="0" w:firstLineChars="0" w:firstLine="0" w:leftChars="0"/>
      </w:pPr>
      <w:hyperlink w:anchor="Chapter_7__Scripting_Custom_Solu">
        <w:r>
          <w:rPr>
            <w:color w:val="0000FF" w:themeColor="hyperlink"/>
            <w:u w:val="single"/>
          </w:rPr>
          <w:t>Chapter 7: Scripting Custom Solutions</w:t>
        </w:r>
      </w:hyperlink>
    </w:p>
    <w:p>
      <w:pPr>
        <w:pStyle w:val="Normal"/>
        <w:ind w:left="0" w:firstLineChars="0" w:firstLine="0" w:leftChars="0"/>
      </w:pPr>
      <w:hyperlink w:anchor="Chapter_7_1">
        <w:r>
          <w:rPr>
            <w:color w:val="0000FF" w:themeColor="hyperlink"/>
            <w:u w:val="single"/>
          </w:rPr>
          <w:t>Chapter 7</w:t>
        </w:r>
      </w:hyperlink>
    </w:p>
    <w:p>
      <w:pPr>
        <w:pStyle w:val="Normal"/>
        <w:ind w:left="0" w:firstLineChars="0" w:firstLine="0" w:leftChars="0"/>
      </w:pPr>
      <w:hyperlink w:anchor="Chapter_7_2">
        <w:r>
          <w:rPr>
            <w:color w:val="0000FF" w:themeColor="hyperlink"/>
            <w:u w:val="single"/>
          </w:rPr>
          <w:t>Chapter 7</w:t>
        </w:r>
      </w:hyperlink>
    </w:p>
    <w:p>
      <w:pPr>
        <w:pStyle w:val="Normal"/>
        <w:ind w:left="0" w:firstLineChars="0" w:firstLine="0" w:leftChars="0"/>
      </w:pPr>
      <w:hyperlink w:anchor="Chapter_7_3">
        <w:r>
          <w:rPr>
            <w:color w:val="0000FF" w:themeColor="hyperlink"/>
            <w:u w:val="single"/>
          </w:rPr>
          <w:t>Chapter 7</w:t>
        </w:r>
      </w:hyperlink>
    </w:p>
    <w:p>
      <w:pPr>
        <w:pStyle w:val="Normal"/>
        <w:ind w:left="0" w:firstLineChars="0" w:firstLine="0" w:leftChars="0"/>
      </w:pPr>
      <w:hyperlink w:anchor="Chapter_7_4">
        <w:r>
          <w:rPr>
            <w:color w:val="0000FF" w:themeColor="hyperlink"/>
            <w:u w:val="single"/>
          </w:rPr>
          <w:t>Chapter 7</w:t>
        </w:r>
      </w:hyperlink>
    </w:p>
    <w:p>
      <w:pPr>
        <w:pStyle w:val="Normal"/>
        <w:ind w:left="0" w:firstLineChars="0" w:firstLine="0" w:leftChars="0"/>
      </w:pPr>
      <w:hyperlink w:anchor="Chapter_7_5">
        <w:r>
          <w:rPr>
            <w:color w:val="0000FF" w:themeColor="hyperlink"/>
            <w:u w:val="single"/>
          </w:rPr>
          <w:t>Chapter 7</w:t>
        </w:r>
      </w:hyperlink>
    </w:p>
    <w:p>
      <w:pPr>
        <w:pStyle w:val="Normal"/>
        <w:ind w:left="0" w:firstLineChars="0" w:firstLine="0" w:leftChars="0"/>
      </w:pPr>
      <w:hyperlink w:anchor="Chapter_7_6">
        <w:r>
          <w:rPr>
            <w:color w:val="0000FF" w:themeColor="hyperlink"/>
            <w:u w:val="single"/>
          </w:rPr>
          <w:t>Chapter 7</w:t>
        </w:r>
      </w:hyperlink>
    </w:p>
    <w:p>
      <w:pPr>
        <w:pStyle w:val="Normal"/>
        <w:ind w:left="0" w:firstLineChars="0" w:firstLine="0" w:leftChars="0"/>
      </w:pPr>
      <w:hyperlink w:anchor="Chapter_7_7">
        <w:r>
          <w:rPr>
            <w:color w:val="0000FF" w:themeColor="hyperlink"/>
            <w:u w:val="single"/>
          </w:rPr>
          <w:t>Chapter 7</w:t>
        </w:r>
      </w:hyperlink>
    </w:p>
    <w:p>
      <w:pPr>
        <w:pStyle w:val="Normal"/>
        <w:ind w:left="0" w:firstLineChars="0" w:firstLine="0" w:leftChars="0"/>
      </w:pPr>
      <w:hyperlink w:anchor="Chapter_7_8">
        <w:r>
          <w:rPr>
            <w:color w:val="0000FF" w:themeColor="hyperlink"/>
            <w:u w:val="single"/>
          </w:rPr>
          <w:t>Chapter 7</w:t>
        </w:r>
      </w:hyperlink>
    </w:p>
    <w:p>
      <w:pPr>
        <w:pStyle w:val="Normal"/>
        <w:ind w:left="0" w:firstLineChars="0" w:firstLine="0" w:leftChars="0"/>
      </w:pPr>
      <w:hyperlink w:anchor="Chapter_7_9">
        <w:r>
          <w:rPr>
            <w:color w:val="0000FF" w:themeColor="hyperlink"/>
            <w:u w:val="single"/>
          </w:rPr>
          <w:t>Chapter 7</w:t>
        </w:r>
      </w:hyperlink>
    </w:p>
    <w:p>
      <w:pPr>
        <w:pStyle w:val="Normal"/>
        <w:ind w:left="0" w:firstLineChars="0" w:firstLine="0" w:leftChars="0"/>
      </w:pPr>
      <w:hyperlink w:anchor="Chapter_7_10">
        <w:r>
          <w:rPr>
            <w:color w:val="0000FF" w:themeColor="hyperlink"/>
            <w:u w:val="single"/>
          </w:rPr>
          <w:t>Chapter 7</w:t>
        </w:r>
      </w:hyperlink>
    </w:p>
    <w:p>
      <w:pPr>
        <w:pStyle w:val="Normal"/>
        <w:ind w:left="0" w:firstLineChars="0" w:firstLine="0" w:leftChars="0"/>
      </w:pPr>
      <w:hyperlink w:anchor="Chapter_7_11">
        <w:r>
          <w:rPr>
            <w:color w:val="0000FF" w:themeColor="hyperlink"/>
            <w:u w:val="single"/>
          </w:rPr>
          <w:t>Chapter 7</w:t>
        </w:r>
      </w:hyperlink>
    </w:p>
    <w:p>
      <w:pPr>
        <w:pStyle w:val="Normal"/>
        <w:ind w:left="0" w:firstLineChars="0" w:firstLine="0" w:leftChars="0"/>
      </w:pPr>
      <w:hyperlink w:anchor="Chapter_7_12">
        <w:r>
          <w:rPr>
            <w:color w:val="0000FF" w:themeColor="hyperlink"/>
            <w:u w:val="single"/>
          </w:rPr>
          <w:t>Chapter 7</w:t>
        </w:r>
      </w:hyperlink>
    </w:p>
    <w:p>
      <w:pPr>
        <w:pStyle w:val="Normal"/>
        <w:ind w:left="0" w:firstLineChars="0" w:firstLine="0" w:leftChars="0"/>
      </w:pPr>
      <w:hyperlink w:anchor="Chapter_7_13">
        <w:r>
          <w:rPr>
            <w:color w:val="0000FF" w:themeColor="hyperlink"/>
            <w:u w:val="single"/>
          </w:rPr>
          <w:t>Chapter 7</w:t>
        </w:r>
      </w:hyperlink>
    </w:p>
    <w:p>
      <w:pPr>
        <w:pStyle w:val="Normal"/>
        <w:ind w:left="0" w:firstLineChars="0" w:firstLine="0" w:leftChars="0"/>
      </w:pPr>
      <w:hyperlink w:anchor="Chapter_7_14">
        <w:r>
          <w:rPr>
            <w:color w:val="0000FF" w:themeColor="hyperlink"/>
            <w:u w:val="single"/>
          </w:rPr>
          <w:t>Chapter 7</w:t>
        </w:r>
      </w:hyperlink>
    </w:p>
    <w:p>
      <w:pPr>
        <w:pStyle w:val="Normal"/>
        <w:ind w:left="0" w:firstLineChars="0" w:firstLine="0" w:leftChars="0"/>
      </w:pPr>
      <w:hyperlink w:anchor="Chapter_7_15">
        <w:r>
          <w:rPr>
            <w:color w:val="0000FF" w:themeColor="hyperlink"/>
            <w:u w:val="single"/>
          </w:rPr>
          <w:t>Chapter 7</w:t>
        </w:r>
      </w:hyperlink>
    </w:p>
    <w:p>
      <w:pPr>
        <w:pStyle w:val="Normal"/>
        <w:ind w:left="0" w:firstLineChars="0" w:firstLine="0" w:leftChars="0"/>
      </w:pPr>
      <w:hyperlink w:anchor="Chapter_7_16">
        <w:r>
          <w:rPr>
            <w:color w:val="0000FF" w:themeColor="hyperlink"/>
            <w:u w:val="single"/>
          </w:rPr>
          <w:t>Chapter 7</w:t>
        </w:r>
      </w:hyperlink>
    </w:p>
    <w:p>
      <w:pPr>
        <w:pStyle w:val="Normal"/>
        <w:ind w:left="0" w:firstLineChars="0" w:firstLine="0" w:leftChars="0"/>
      </w:pPr>
      <w:hyperlink w:anchor="Chapter_7_17">
        <w:r>
          <w:rPr>
            <w:color w:val="0000FF" w:themeColor="hyperlink"/>
            <w:u w:val="single"/>
          </w:rPr>
          <w:t>Chapter 7</w:t>
        </w:r>
      </w:hyperlink>
    </w:p>
    <w:p>
      <w:pPr>
        <w:pStyle w:val="Normal"/>
        <w:ind w:left="0" w:firstLineChars="0" w:firstLine="0" w:leftChars="0"/>
      </w:pPr>
      <w:hyperlink w:anchor="Chapter_7_18">
        <w:r>
          <w:rPr>
            <w:color w:val="0000FF" w:themeColor="hyperlink"/>
            <w:u w:val="single"/>
          </w:rPr>
          <w:t>Chapter 7</w:t>
        </w:r>
      </w:hyperlink>
    </w:p>
    <w:p>
      <w:pPr>
        <w:pStyle w:val="Normal"/>
        <w:ind w:left="0" w:firstLineChars="0" w:firstLine="0" w:leftChars="0"/>
      </w:pPr>
      <w:hyperlink w:anchor="Chapter_7_19">
        <w:r>
          <w:rPr>
            <w:color w:val="0000FF" w:themeColor="hyperlink"/>
            <w:u w:val="single"/>
          </w:rPr>
          <w:t>Chapter 7</w:t>
        </w:r>
      </w:hyperlink>
    </w:p>
    <w:p>
      <w:pPr>
        <w:pStyle w:val="Normal"/>
        <w:ind w:left="0" w:firstLineChars="0" w:firstLine="0" w:leftChars="0"/>
      </w:pPr>
      <w:hyperlink w:anchor="Chapter_7_20">
        <w:r>
          <w:rPr>
            <w:color w:val="0000FF" w:themeColor="hyperlink"/>
            <w:u w:val="single"/>
          </w:rPr>
          <w:t>Chapter 7</w:t>
        </w:r>
      </w:hyperlink>
    </w:p>
    <w:p>
      <w:pPr>
        <w:pStyle w:val="Normal"/>
        <w:ind w:left="0" w:firstLineChars="0" w:firstLine="0" w:leftChars="0"/>
      </w:pPr>
      <w:hyperlink w:anchor="Chapter_7_21">
        <w:r>
          <w:rPr>
            <w:color w:val="0000FF" w:themeColor="hyperlink"/>
            <w:u w:val="single"/>
          </w:rPr>
          <w:t>Chapter 7</w:t>
        </w:r>
      </w:hyperlink>
    </w:p>
    <w:p>
      <w:pPr>
        <w:pStyle w:val="Normal"/>
        <w:ind w:left="0" w:firstLineChars="0" w:firstLine="0" w:leftChars="0"/>
      </w:pPr>
      <w:hyperlink w:anchor="Chapter_7_22">
        <w:r>
          <w:rPr>
            <w:color w:val="0000FF" w:themeColor="hyperlink"/>
            <w:u w:val="single"/>
          </w:rPr>
          <w:t>Chapter 7</w:t>
        </w:r>
      </w:hyperlink>
    </w:p>
    <w:p>
      <w:pPr>
        <w:pStyle w:val="Normal"/>
        <w:ind w:left="0" w:firstLineChars="0" w:firstLine="0" w:leftChars="0"/>
      </w:pPr>
      <w:hyperlink w:anchor="Chapter_7_23">
        <w:r>
          <w:rPr>
            <w:color w:val="0000FF" w:themeColor="hyperlink"/>
            <w:u w:val="single"/>
          </w:rPr>
          <w:t>Chapter 7</w:t>
        </w:r>
      </w:hyperlink>
    </w:p>
    <w:p>
      <w:pPr>
        <w:pStyle w:val="Normal"/>
        <w:ind w:left="0" w:firstLineChars="0" w:firstLine="0" w:leftChars="0"/>
      </w:pPr>
      <w:hyperlink w:anchor="Chapter_7_24">
        <w:r>
          <w:rPr>
            <w:color w:val="0000FF" w:themeColor="hyperlink"/>
            <w:u w:val="single"/>
          </w:rPr>
          <w:t>Chapter 7</w:t>
        </w:r>
      </w:hyperlink>
    </w:p>
    <w:p>
      <w:pPr>
        <w:pStyle w:val="Normal"/>
        <w:ind w:left="0" w:firstLineChars="0" w:firstLine="0" w:leftChars="0"/>
      </w:pPr>
      <w:hyperlink w:anchor="Chapter_7_25">
        <w:r>
          <w:rPr>
            <w:color w:val="0000FF" w:themeColor="hyperlink"/>
            <w:u w:val="single"/>
          </w:rPr>
          <w:t>Chapter 7</w:t>
        </w:r>
      </w:hyperlink>
    </w:p>
    <w:p>
      <w:pPr>
        <w:pStyle w:val="Normal"/>
        <w:ind w:left="0" w:firstLineChars="0" w:firstLine="0" w:leftChars="0"/>
      </w:pPr>
      <w:hyperlink w:anchor="Chapter_8">
        <w:r>
          <w:rPr>
            <w:color w:val="0000FF" w:themeColor="hyperlink"/>
            <w:u w:val="single"/>
          </w:rPr>
          <w:t>Chapter 8</w:t>
        </w:r>
      </w:hyperlink>
    </w:p>
    <w:p>
      <w:pPr>
        <w:pStyle w:val="Normal"/>
        <w:ind w:left="0" w:firstLineChars="0" w:firstLine="0" w:leftChars="0"/>
      </w:pPr>
      <w:hyperlink w:anchor="Chapter_8__Asset_Management">
        <w:r>
          <w:rPr>
            <w:color w:val="0000FF" w:themeColor="hyperlink"/>
            <w:u w:val="single"/>
          </w:rPr>
          <w:t>Chapter 8: Asset Management</w:t>
        </w:r>
      </w:hyperlink>
    </w:p>
    <w:p>
      <w:pPr>
        <w:pStyle w:val="Normal"/>
        <w:ind w:left="0" w:firstLineChars="0" w:firstLine="0" w:leftChars="0"/>
      </w:pPr>
      <w:hyperlink w:anchor="Chapter_8_1">
        <w:r>
          <w:rPr>
            <w:color w:val="0000FF" w:themeColor="hyperlink"/>
            <w:u w:val="single"/>
          </w:rPr>
          <w:t>Chapter 8</w:t>
        </w:r>
      </w:hyperlink>
    </w:p>
    <w:p>
      <w:pPr>
        <w:pStyle w:val="Normal"/>
        <w:ind w:left="0" w:firstLineChars="0" w:firstLine="0" w:leftChars="0"/>
      </w:pPr>
      <w:hyperlink w:anchor="Chapter_8_2">
        <w:r>
          <w:rPr>
            <w:color w:val="0000FF" w:themeColor="hyperlink"/>
            <w:u w:val="single"/>
          </w:rPr>
          <w:t>Chapter 8</w:t>
        </w:r>
      </w:hyperlink>
    </w:p>
    <w:p>
      <w:pPr>
        <w:pStyle w:val="Normal"/>
        <w:ind w:left="0" w:firstLineChars="0" w:firstLine="0" w:leftChars="0"/>
      </w:pPr>
      <w:hyperlink w:anchor="Chapter_8_3">
        <w:r>
          <w:rPr>
            <w:color w:val="0000FF" w:themeColor="hyperlink"/>
            <w:u w:val="single"/>
          </w:rPr>
          <w:t>Chapter 8</w:t>
        </w:r>
      </w:hyperlink>
    </w:p>
    <w:p>
      <w:pPr>
        <w:pStyle w:val="Normal"/>
        <w:ind w:left="0" w:firstLineChars="0" w:firstLine="0" w:leftChars="0"/>
      </w:pPr>
      <w:hyperlink w:anchor="Chapter_8_4">
        <w:r>
          <w:rPr>
            <w:color w:val="0000FF" w:themeColor="hyperlink"/>
            <w:u w:val="single"/>
          </w:rPr>
          <w:t>Chapter 8</w:t>
        </w:r>
      </w:hyperlink>
    </w:p>
    <w:p>
      <w:pPr>
        <w:pStyle w:val="Normal"/>
        <w:ind w:left="0" w:firstLineChars="0" w:firstLine="0" w:leftChars="0"/>
      </w:pPr>
      <w:hyperlink w:anchor="Chapter_8_5">
        <w:r>
          <w:rPr>
            <w:color w:val="0000FF" w:themeColor="hyperlink"/>
            <w:u w:val="single"/>
          </w:rPr>
          <w:t>Chapter 8</w:t>
        </w:r>
      </w:hyperlink>
    </w:p>
    <w:p>
      <w:pPr>
        <w:pStyle w:val="Normal"/>
        <w:ind w:left="0" w:firstLineChars="0" w:firstLine="0" w:leftChars="0"/>
      </w:pPr>
      <w:hyperlink w:anchor="Chapter_8_6">
        <w:r>
          <w:rPr>
            <w:color w:val="0000FF" w:themeColor="hyperlink"/>
            <w:u w:val="single"/>
          </w:rPr>
          <w:t>Chapter 8</w:t>
        </w:r>
      </w:hyperlink>
    </w:p>
    <w:p>
      <w:pPr>
        <w:pStyle w:val="Normal"/>
        <w:ind w:left="0" w:firstLineChars="0" w:firstLine="0" w:leftChars="0"/>
      </w:pPr>
      <w:hyperlink w:anchor="Chapter_8_7">
        <w:r>
          <w:rPr>
            <w:color w:val="0000FF" w:themeColor="hyperlink"/>
            <w:u w:val="single"/>
          </w:rPr>
          <w:t>Chapter 8</w:t>
        </w:r>
      </w:hyperlink>
    </w:p>
    <w:p>
      <w:pPr>
        <w:pStyle w:val="Normal"/>
        <w:ind w:left="0" w:firstLineChars="0" w:firstLine="0" w:leftChars="0"/>
      </w:pPr>
      <w:hyperlink w:anchor="Chapter_8_8">
        <w:r>
          <w:rPr>
            <w:color w:val="0000FF" w:themeColor="hyperlink"/>
            <w:u w:val="single"/>
          </w:rPr>
          <w:t>Chapter 8</w:t>
        </w:r>
      </w:hyperlink>
    </w:p>
    <w:p>
      <w:pPr>
        <w:pStyle w:val="Normal"/>
        <w:ind w:left="0" w:firstLineChars="0" w:firstLine="0" w:leftChars="0"/>
      </w:pPr>
      <w:hyperlink w:anchor="Chapter_8_9">
        <w:r>
          <w:rPr>
            <w:color w:val="0000FF" w:themeColor="hyperlink"/>
            <w:u w:val="single"/>
          </w:rPr>
          <w:t>Chapter 8</w:t>
        </w:r>
      </w:hyperlink>
    </w:p>
    <w:p>
      <w:pPr>
        <w:pStyle w:val="Normal"/>
        <w:ind w:left="0" w:firstLineChars="0" w:firstLine="0" w:leftChars="0"/>
      </w:pPr>
      <w:hyperlink w:anchor="Chapter_8_10">
        <w:r>
          <w:rPr>
            <w:color w:val="0000FF" w:themeColor="hyperlink"/>
            <w:u w:val="single"/>
          </w:rPr>
          <w:t>Chapter 8</w:t>
        </w:r>
      </w:hyperlink>
    </w:p>
    <w:p>
      <w:pPr>
        <w:pStyle w:val="Normal"/>
        <w:ind w:left="0" w:firstLineChars="0" w:firstLine="0" w:leftChars="0"/>
      </w:pPr>
      <w:hyperlink w:anchor="Chapter_8_11">
        <w:r>
          <w:rPr>
            <w:color w:val="0000FF" w:themeColor="hyperlink"/>
            <w:u w:val="single"/>
          </w:rPr>
          <w:t>Chapter 8</w:t>
        </w:r>
      </w:hyperlink>
    </w:p>
    <w:p>
      <w:pPr>
        <w:pStyle w:val="Normal"/>
        <w:ind w:left="0" w:firstLineChars="0" w:firstLine="0" w:leftChars="0"/>
      </w:pPr>
      <w:hyperlink w:anchor="Chapter_8_12">
        <w:r>
          <w:rPr>
            <w:color w:val="0000FF" w:themeColor="hyperlink"/>
            <w:u w:val="single"/>
          </w:rPr>
          <w:t>Chapter 8</w:t>
        </w:r>
      </w:hyperlink>
    </w:p>
    <w:p>
      <w:pPr>
        <w:pStyle w:val="Normal"/>
        <w:ind w:left="0" w:firstLineChars="0" w:firstLine="0" w:leftChars="0"/>
      </w:pPr>
      <w:hyperlink w:anchor="Chapter_8_13">
        <w:r>
          <w:rPr>
            <w:color w:val="0000FF" w:themeColor="hyperlink"/>
            <w:u w:val="single"/>
          </w:rPr>
          <w:t>Chapter 8</w:t>
        </w:r>
      </w:hyperlink>
    </w:p>
    <w:p>
      <w:pPr>
        <w:pStyle w:val="Normal"/>
        <w:ind w:left="0" w:firstLineChars="0" w:firstLine="0" w:leftChars="0"/>
      </w:pPr>
      <w:hyperlink w:anchor="Chapter_8_14">
        <w:r>
          <w:rPr>
            <w:color w:val="0000FF" w:themeColor="hyperlink"/>
            <w:u w:val="single"/>
          </w:rPr>
          <w:t>Chapter 8</w:t>
        </w:r>
      </w:hyperlink>
    </w:p>
    <w:p>
      <w:pPr>
        <w:pStyle w:val="Normal"/>
        <w:ind w:left="0" w:firstLineChars="0" w:firstLine="0" w:leftChars="0"/>
      </w:pPr>
      <w:hyperlink w:anchor="Chapter_8_15">
        <w:r>
          <w:rPr>
            <w:color w:val="0000FF" w:themeColor="hyperlink"/>
            <w:u w:val="single"/>
          </w:rPr>
          <w:t>Chapter 8</w:t>
        </w:r>
      </w:hyperlink>
    </w:p>
    <w:p>
      <w:pPr>
        <w:pStyle w:val="Normal"/>
        <w:ind w:left="0" w:firstLineChars="0" w:firstLine="0" w:leftChars="0"/>
      </w:pPr>
      <w:hyperlink w:anchor="Chapter_8_16">
        <w:r>
          <w:rPr>
            <w:color w:val="0000FF" w:themeColor="hyperlink"/>
            <w:u w:val="single"/>
          </w:rPr>
          <w:t>Chapter 8</w:t>
        </w:r>
      </w:hyperlink>
    </w:p>
    <w:p>
      <w:pPr>
        <w:pStyle w:val="Normal"/>
        <w:ind w:left="0" w:firstLineChars="0" w:firstLine="0" w:leftChars="0"/>
      </w:pPr>
      <w:hyperlink w:anchor="Chapter_4__we_discussed_deployin">
        <w:r>
          <w:rPr>
            <w:color w:val="0000FF" w:themeColor="hyperlink"/>
            <w:u w:val="single"/>
          </w:rPr>
          <w:t>Chapter 4, we discussed deploying software and updates to those systems. Remember that all the</w:t>
        </w:r>
      </w:hyperlink>
    </w:p>
    <w:p>
      <w:pPr>
        <w:pStyle w:val="Normal"/>
        <w:ind w:left="0" w:firstLineChars="0" w:firstLine="0" w:leftChars="0"/>
      </w:pPr>
      <w:hyperlink w:anchor="Chapter_8_17">
        <w:r>
          <w:rPr>
            <w:color w:val="0000FF" w:themeColor="hyperlink"/>
            <w:u w:val="single"/>
          </w:rPr>
          <w:t>Chapter 8</w:t>
        </w:r>
      </w:hyperlink>
    </w:p>
    <w:p>
      <w:pPr>
        <w:pStyle w:val="Normal"/>
        <w:ind w:left="0" w:firstLineChars="0" w:firstLine="0" w:leftChars="0"/>
      </w:pPr>
      <w:hyperlink w:anchor="Chapter_8_18">
        <w:r>
          <w:rPr>
            <w:color w:val="0000FF" w:themeColor="hyperlink"/>
            <w:u w:val="single"/>
          </w:rPr>
          <w:t>Chapter 8</w:t>
        </w:r>
      </w:hyperlink>
    </w:p>
    <w:p>
      <w:pPr>
        <w:pStyle w:val="Normal"/>
        <w:ind w:left="0" w:firstLineChars="0" w:firstLine="0" w:leftChars="0"/>
      </w:pPr>
      <w:hyperlink w:anchor="Chapter_8_19">
        <w:r>
          <w:rPr>
            <w:color w:val="0000FF" w:themeColor="hyperlink"/>
            <w:u w:val="single"/>
          </w:rPr>
          <w:t>Chapter 8</w:t>
        </w:r>
      </w:hyperlink>
      <w:r>
        <w:fldChar w:fldCharType="end"/>
      </w:r>
    </w:p>
    <w:p>
      <w:bookmarkStart w:id="1" w:name="The_Definitive_Guide_To_The_Defi"/>
      <w:pPr>
        <w:pStyle w:val="Para 39"/>
        <w:pageBreakBefore w:val="on"/>
      </w:pPr>
      <w:r>
        <w:t>The Definitive Guide To</w:t>
      </w:r>
      <w:r>
        <w:rPr>
          <w:rStyle w:val="Text8"/>
        </w:rPr>
        <w:t xml:space="preserve"> </w:t>
      </w:r>
      <w:r>
        <w:t>The Definitive Guide To</w:t>
      </w:r>
      <w:r>
        <w:rPr>
          <w:rStyle w:val="Text8"/>
        </w:rPr>
        <w:t xml:space="preserve"> </w:t>
      </w:r>
      <w:r>
        <w:rPr>
          <w:rStyle w:val="Text7"/>
        </w:rPr>
        <w:t>tm</w:t>
      </w:r>
      <w:r>
        <w:rPr>
          <w:rStyle w:val="Text8"/>
        </w:rPr>
        <w:t xml:space="preserve"> </w:t>
      </w:r>
      <w:r>
        <w:rPr>
          <w:rStyle w:val="Text7"/>
        </w:rPr>
        <w:t>tm</w:t>
      </w:r>
      <w:bookmarkEnd w:id="1"/>
    </w:p>
    <w:p>
      <w:pPr>
        <w:pStyle w:val="Para 25"/>
      </w:pPr>
      <w:r>
        <w:t/>
      </w:r>
    </w:p>
    <w:p>
      <w:pPr>
        <w:pStyle w:val="Para 40"/>
      </w:pPr>
      <w:r>
        <w:t>Hosted for free by WindowsMode.com</w:t>
      </w:r>
    </w:p>
    <w:p>
      <w:pPr>
        <w:pStyle w:val="Para 25"/>
      </w:pPr>
      <w:r>
        <w:t/>
      </w:r>
    </w:p>
    <w:p>
      <w:pPr>
        <w:pStyle w:val="Para 33"/>
      </w:pPr>
      <w:r>
        <w:t>Windows Desktop</w:t>
      </w:r>
    </w:p>
    <w:p>
      <w:pPr>
        <w:pStyle w:val="Para 25"/>
      </w:pPr>
      <w:r>
        <w:t/>
      </w:r>
    </w:p>
    <w:p>
      <w:pPr>
        <w:pStyle w:val="Para 33"/>
      </w:pPr>
      <w:r>
        <w:t>Administration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62100" cy="533400"/>
            <wp:effectExtent l="0" r="0" t="0" b="0"/>
            <wp:wrapTopAndBottom/>
            <wp:docPr id="1" name="index-1_1.png" descr="index-1_1.png"/>
            <wp:cNvGraphicFramePr>
              <a:graphicFrameLocks noChangeAspect="1"/>
            </wp:cNvGraphicFramePr>
            <a:graphic>
              <a:graphicData uri="http://schemas.openxmlformats.org/drawingml/2006/picture">
                <pic:pic>
                  <pic:nvPicPr>
                    <pic:cNvPr id="0" name="index-1_1.png" descr="index-1_1.png"/>
                    <pic:cNvPicPr/>
                  </pic:nvPicPr>
                  <pic:blipFill>
                    <a:blip r:embed="rId5"/>
                    <a:stretch>
                      <a:fillRect/>
                    </a:stretch>
                  </pic:blipFill>
                  <pic:spPr>
                    <a:xfrm>
                      <a:off x="0" y="0"/>
                      <a:ext cx="1562100" cy="533400"/>
                    </a:xfrm>
                    <a:prstGeom prst="rect">
                      <a:avLst/>
                    </a:prstGeom>
                  </pic:spPr>
                </pic:pic>
              </a:graphicData>
            </a:graphic>
          </wp:anchor>
        </w:drawing>
      </w:r>
    </w:p>
    <w:p>
      <w:pPr>
        <w:pStyle w:val="Para 25"/>
      </w:pPr>
      <w:r>
        <w:t/>
      </w:r>
    </w:p>
    <w:p>
      <w:pPr>
        <w:pStyle w:val="Para 41"/>
      </w:pPr>
      <w:r>
        <w:t>Bob Kelly</w:t>
      </w:r>
    </w:p>
    <w:p>
      <w:bookmarkStart w:id="2" w:name="Introduction"/>
      <w:pPr>
        <w:pStyle w:val="Para 34"/>
      </w:pPr>
      <w:r>
        <w:t>Introduction</w:t>
      </w:r>
      <w:bookmarkEnd w:id="2"/>
    </w:p>
    <w:p>
      <w:pPr>
        <w:pStyle w:val="Para 25"/>
      </w:pPr>
      <w:r>
        <w:t/>
      </w:r>
    </w:p>
    <w:p>
      <w:pPr>
        <w:pStyle w:val="Para 12"/>
      </w:pPr>
      <w:r>
        <w:t xml:space="preserve">Introduction to Realtimepublishers </w:t>
      </w:r>
    </w:p>
    <w:p>
      <w:pPr>
        <w:pStyle w:val="Para 25"/>
      </w:pPr>
      <w:r>
        <w:t/>
      </w:r>
    </w:p>
    <w:p>
      <w:pPr>
        <w:pStyle w:val="Para 18"/>
      </w:pPr>
      <w:r>
        <w:t xml:space="preserve">by Don Jones, Series Editor </w:t>
      </w:r>
    </w:p>
    <w:p>
      <w:pPr>
        <w:pStyle w:val="Para 25"/>
      </w:pPr>
      <w:r>
        <w:t/>
      </w:r>
    </w:p>
    <w:p>
      <w:pPr>
        <w:pStyle w:val="Normal"/>
      </w:pPr>
      <w:r>
        <w:t xml:space="preserve">For several years, now, Realtime has produced dozens and dozens of high-quality books that just </w:t>
      </w:r>
    </w:p>
    <w:p>
      <w:pPr>
        <w:pStyle w:val="Normal"/>
      </w:pPr>
      <w:r>
        <w:t xml:space="preserve">happen to be delivered in electronic format—at no cost to you, the reader. We’ve made this </w:t>
      </w:r>
    </w:p>
    <w:p>
      <w:pPr>
        <w:pStyle w:val="Normal"/>
      </w:pPr>
      <w:r>
        <w:t xml:space="preserve">unique publishing model work through the generous support and cooperation of our sponsors, who agree to bear each book’s production expenses for the benefit of our readers. </w:t>
      </w:r>
    </w:p>
    <w:p>
      <w:pPr>
        <w:pStyle w:val="Para 25"/>
      </w:pPr>
      <w:r>
        <w:t/>
      </w:r>
    </w:p>
    <w:p>
      <w:pPr>
        <w:pStyle w:val="Normal"/>
      </w:pPr>
      <w:r>
        <w:t xml:space="preserve">Although we’ve always offered our publications to you for free, don’t think for a moment that </w:t>
      </w:r>
    </w:p>
    <w:p>
      <w:pPr>
        <w:pStyle w:val="Normal"/>
      </w:pPr>
      <w:r>
        <w:t xml:space="preserve">quality is anything less than our top priority. My job is to make sure that our books are as good as—and in most cases better than—any printed book that would cost you $40 or more. Our </w:t>
      </w:r>
    </w:p>
    <w:p>
      <w:pPr>
        <w:pStyle w:val="Normal"/>
      </w:pPr>
      <w:r>
        <w:t xml:space="preserve">electronic publishing model offers several advantages over printed books: You receive chapters </w:t>
      </w:r>
    </w:p>
    <w:p>
      <w:pPr>
        <w:pStyle w:val="Normal"/>
      </w:pPr>
      <w:r>
        <w:t xml:space="preserve">literally as fast as our authors produce them (hence the “realtime” aspect of our model), and we can update chapters to reflect the latest changes in technology. </w:t>
      </w:r>
    </w:p>
    <w:p>
      <w:pPr>
        <w:pStyle w:val="Para 25"/>
      </w:pPr>
      <w:r>
        <w:t/>
      </w:r>
    </w:p>
    <w:p>
      <w:pPr>
        <w:pStyle w:val="Normal"/>
      </w:pPr>
      <w:r>
        <w:t xml:space="preserve">I want to point out that our books are by no means paid advertisements or white papers. We’re an </w:t>
      </w:r>
    </w:p>
    <w:p>
      <w:pPr>
        <w:pStyle w:val="Normal"/>
      </w:pPr>
      <w:r>
        <w:t xml:space="preserve">independent publishing company, and an important aspect of my job is to make sure that our </w:t>
      </w:r>
    </w:p>
    <w:p>
      <w:pPr>
        <w:pStyle w:val="Normal"/>
      </w:pPr>
      <w:r>
        <w:t xml:space="preserve">authors are free to voice their expertise and opinions without reservation or restriction. We maintain complete editorial control of our publications, and I’m proud that we’ve produced so </w:t>
      </w:r>
    </w:p>
    <w:p>
      <w:pPr>
        <w:pStyle w:val="Normal"/>
      </w:pPr>
      <w:r>
        <w:t xml:space="preserve">many quality books over the past years. </w:t>
      </w:r>
    </w:p>
    <w:p>
      <w:pPr>
        <w:pStyle w:val="Para 25"/>
      </w:pPr>
      <w:r>
        <w:t/>
      </w:r>
    </w:p>
    <w:p>
      <w:pPr>
        <w:pStyle w:val="Normal"/>
      </w:pPr>
      <w:r>
        <w:t xml:space="preserve">I want to extend an invitation to visit us at http://nexus.realtimepublishers.com, especially if you’ve received this publication from a friend or colleague. We have a wide variety of additional </w:t>
      </w:r>
    </w:p>
    <w:p>
      <w:pPr>
        <w:pStyle w:val="Normal"/>
      </w:pPr>
      <w:r>
        <w:t xml:space="preserve">books on a range of topics, and you’re sure to find something that’s of interest to you—and it </w:t>
      </w:r>
    </w:p>
    <w:p>
      <w:pPr>
        <w:pStyle w:val="Normal"/>
      </w:pPr>
      <w:r>
        <w:t xml:space="preserve">won’t cost you a thing. We hope you’ll continue to come to Realtime for your educational needs far into the future. </w:t>
      </w:r>
    </w:p>
    <w:p>
      <w:pPr>
        <w:pStyle w:val="Para 25"/>
      </w:pPr>
      <w:r>
        <w:t/>
      </w:r>
    </w:p>
    <w:p>
      <w:pPr>
        <w:pStyle w:val="Normal"/>
      </w:pPr>
      <w:r>
        <w:t xml:space="preserve">Until then, enjoy. </w:t>
      </w:r>
    </w:p>
    <w:p>
      <w:pPr>
        <w:pStyle w:val="Para 25"/>
      </w:pPr>
      <w:r>
        <w:t/>
      </w:r>
    </w:p>
    <w:p>
      <w:pPr>
        <w:pStyle w:val="Normal"/>
      </w:pPr>
      <w:r>
        <w:t>Don Jones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 name="index-2_1.png" descr="index-2_1.png"/>
            <wp:cNvGraphicFramePr>
              <a:graphicFrameLocks noChangeAspect="1"/>
            </wp:cNvGraphicFramePr>
            <a:graphic>
              <a:graphicData uri="http://schemas.openxmlformats.org/drawingml/2006/picture">
                <pic:pic>
                  <pic:nvPicPr>
                    <pic:cNvPr id="0" name="index-2_1.png" descr="index-2_1.png"/>
                    <pic:cNvPicPr/>
                  </pic:nvPicPr>
                  <pic:blipFill>
                    <a:blip r:embed="rId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 name="index-2_2.png" descr="index-2_2.png"/>
            <wp:cNvGraphicFramePr>
              <a:graphicFrameLocks noChangeAspect="1"/>
            </wp:cNvGraphicFramePr>
            <a:graphic>
              <a:graphicData uri="http://schemas.openxmlformats.org/drawingml/2006/picture">
                <pic:pic>
                  <pic:nvPicPr>
                    <pic:cNvPr id="0" name="index-2_2.png" descr="index-2_2.png"/>
                    <pic:cNvPicPr/>
                  </pic:nvPicPr>
                  <pic:blipFill>
                    <a:blip r:embed="rId7"/>
                    <a:stretch>
                      <a:fillRect/>
                    </a:stretch>
                  </pic:blipFill>
                  <pic:spPr>
                    <a:xfrm>
                      <a:off x="0" y="0"/>
                      <a:ext cx="914400" cy="444500"/>
                    </a:xfrm>
                    <a:prstGeom prst="rect">
                      <a:avLst/>
                    </a:prstGeom>
                  </pic:spPr>
                </pic:pic>
              </a:graphicData>
            </a:graphic>
          </wp:anchor>
        </w:drawing>
      </w:r>
    </w:p>
    <w:p>
      <w:bookmarkStart w:id="3" w:name="Table_of_Contents"/>
      <w:pPr>
        <w:pStyle w:val="Heading 1"/>
      </w:pPr>
      <w:r>
        <w:t>Table of Contents</w:t>
      </w:r>
      <w:bookmarkEnd w:id="3"/>
    </w:p>
    <w:p>
      <w:pPr>
        <w:pStyle w:val="Para 25"/>
      </w:pPr>
      <w:r>
        <w:t/>
      </w:r>
    </w:p>
    <w:p>
      <w:pPr>
        <w:pStyle w:val="Normal"/>
      </w:pPr>
      <w:r>
        <w:t xml:space="preserve">Introduction to Realtimepublishers.................................................................................................. i </w:t>
      </w:r>
    </w:p>
    <w:p>
      <w:pPr>
        <w:pStyle w:val="Para 25"/>
      </w:pPr>
      <w:r>
        <w:t/>
      </w:r>
    </w:p>
    <w:p>
      <w:pPr>
        <w:pStyle w:val="Normal"/>
      </w:pPr>
      <w:r>
        <w:t xml:space="preserve">Chapter 1: Desktop Administration Overview ................................................................................1 </w:t>
      </w:r>
    </w:p>
    <w:p>
      <w:pPr>
        <w:pStyle w:val="Para 25"/>
      </w:pPr>
      <w:r>
        <w:t/>
      </w:r>
    </w:p>
    <w:p>
      <w:pPr>
        <w:pStyle w:val="Normal"/>
      </w:pPr>
      <w:r>
        <w:t xml:space="preserve">The Benefits of Desktop Administration .........................................................................................1 </w:t>
      </w:r>
    </w:p>
    <w:p>
      <w:pPr>
        <w:pStyle w:val="Para 25"/>
      </w:pPr>
      <w:r>
        <w:t/>
      </w:r>
    </w:p>
    <w:p>
      <w:pPr>
        <w:pStyle w:val="Para 01"/>
      </w:pPr>
      <w:r>
        <w:t xml:space="preserve">Lower Cost of Ownership....................................................................................................1 </w:t>
      </w:r>
    </w:p>
    <w:p>
      <w:pPr>
        <w:pStyle w:val="Para 25"/>
      </w:pPr>
      <w:r>
        <w:t/>
      </w:r>
    </w:p>
    <w:p>
      <w:pPr>
        <w:pStyle w:val="Para 01"/>
      </w:pPr>
      <w:r>
        <w:t xml:space="preserve">Increased User Productivity .................................................................................................3 </w:t>
      </w:r>
    </w:p>
    <w:p>
      <w:pPr>
        <w:pStyle w:val="Para 25"/>
      </w:pPr>
      <w:r>
        <w:t/>
      </w:r>
    </w:p>
    <w:p>
      <w:pPr>
        <w:pStyle w:val="Para 01"/>
      </w:pPr>
      <w:r>
        <w:t xml:space="preserve">Rapid and Accurate System Recovery.................................................................................4 </w:t>
      </w:r>
    </w:p>
    <w:p>
      <w:pPr>
        <w:pStyle w:val="Para 25"/>
      </w:pPr>
      <w:r>
        <w:t/>
      </w:r>
    </w:p>
    <w:p>
      <w:pPr>
        <w:pStyle w:val="Normal"/>
      </w:pPr>
      <w:r>
        <w:t xml:space="preserve">When to Automate ...........................................................................................................................5 </w:t>
      </w:r>
    </w:p>
    <w:p>
      <w:pPr>
        <w:pStyle w:val="Para 25"/>
      </w:pPr>
      <w:r>
        <w:t/>
      </w:r>
    </w:p>
    <w:p>
      <w:pPr>
        <w:pStyle w:val="Para 01"/>
      </w:pPr>
      <w:r>
        <w:t xml:space="preserve">Deployment Automation......................................................................................................5 </w:t>
      </w:r>
    </w:p>
    <w:p>
      <w:pPr>
        <w:pStyle w:val="Para 25"/>
      </w:pPr>
      <w:r>
        <w:t/>
      </w:r>
    </w:p>
    <w:p>
      <w:pPr>
        <w:pStyle w:val="Para 01"/>
      </w:pPr>
      <w:r>
        <w:t xml:space="preserve">Backup Automation .............................................................................................................6 </w:t>
      </w:r>
    </w:p>
    <w:p>
      <w:pPr>
        <w:pStyle w:val="Para 25"/>
      </w:pPr>
      <w:r>
        <w:t/>
      </w:r>
    </w:p>
    <w:p>
      <w:pPr>
        <w:pStyle w:val="Para 01"/>
      </w:pPr>
      <w:r>
        <w:t xml:space="preserve">Inventory Automation ..........................................................................................................6 </w:t>
      </w:r>
    </w:p>
    <w:p>
      <w:pPr>
        <w:pStyle w:val="Para 25"/>
      </w:pPr>
      <w:r>
        <w:t/>
      </w:r>
    </w:p>
    <w:p>
      <w:pPr>
        <w:pStyle w:val="Para 08"/>
      </w:pPr>
      <w:r>
        <w:t xml:space="preserve">Windows Management Instrumentation ..................................................................6 </w:t>
      </w:r>
    </w:p>
    <w:p>
      <w:pPr>
        <w:pStyle w:val="Para 25"/>
      </w:pPr>
      <w:r>
        <w:t/>
      </w:r>
    </w:p>
    <w:p>
      <w:pPr>
        <w:pStyle w:val="Normal"/>
      </w:pPr>
      <w:r>
        <w:t xml:space="preserve">The Scope of Desktop Administration.............................................................................................7 </w:t>
      </w:r>
    </w:p>
    <w:p>
      <w:pPr>
        <w:pStyle w:val="Para 25"/>
      </w:pPr>
      <w:r>
        <w:t/>
      </w:r>
    </w:p>
    <w:p>
      <w:pPr>
        <w:pStyle w:val="Para 01"/>
      </w:pPr>
      <w:r>
        <w:t xml:space="preserve">System Deployment .............................................................................................................7 </w:t>
      </w:r>
    </w:p>
    <w:p>
      <w:pPr>
        <w:pStyle w:val="Para 25"/>
      </w:pPr>
      <w:r>
        <w:t/>
      </w:r>
    </w:p>
    <w:p>
      <w:pPr>
        <w:pStyle w:val="Para 01"/>
      </w:pPr>
      <w:r>
        <w:t xml:space="preserve">User Profile and Data Management .....................................................................................8 </w:t>
      </w:r>
    </w:p>
    <w:p>
      <w:pPr>
        <w:pStyle w:val="Para 25"/>
      </w:pPr>
      <w:r>
        <w:t/>
      </w:r>
    </w:p>
    <w:p>
      <w:pPr>
        <w:pStyle w:val="Para 01"/>
      </w:pPr>
      <w:r>
        <w:t xml:space="preserve">Application Management .....................................................................................................9 </w:t>
      </w:r>
    </w:p>
    <w:p>
      <w:pPr>
        <w:pStyle w:val="Para 25"/>
      </w:pPr>
      <w:r>
        <w:t/>
      </w:r>
    </w:p>
    <w:p>
      <w:pPr>
        <w:pStyle w:val="Para 01"/>
      </w:pPr>
      <w:r>
        <w:t xml:space="preserve">Desktop Security................................................................................................................10 </w:t>
      </w:r>
    </w:p>
    <w:p>
      <w:pPr>
        <w:pStyle w:val="Para 25"/>
      </w:pPr>
      <w:r>
        <w:t/>
      </w:r>
    </w:p>
    <w:p>
      <w:pPr>
        <w:pStyle w:val="Para 01"/>
      </w:pPr>
      <w:r>
        <w:t xml:space="preserve">Desktop Support.................................................................................................................11 </w:t>
      </w:r>
    </w:p>
    <w:p>
      <w:pPr>
        <w:pStyle w:val="Para 25"/>
      </w:pPr>
      <w:r>
        <w:t/>
      </w:r>
    </w:p>
    <w:p>
      <w:pPr>
        <w:pStyle w:val="Para 01"/>
      </w:pPr>
      <w:r>
        <w:t xml:space="preserve">Scripting Custom Solutions ...............................................................................................11 </w:t>
      </w:r>
    </w:p>
    <w:p>
      <w:pPr>
        <w:pStyle w:val="Para 25"/>
      </w:pPr>
      <w:r>
        <w:t/>
      </w:r>
    </w:p>
    <w:p>
      <w:pPr>
        <w:pStyle w:val="Para 01"/>
      </w:pPr>
      <w:r>
        <w:t xml:space="preserve">Asset Management .............................................................................................................12 </w:t>
      </w:r>
    </w:p>
    <w:p>
      <w:pPr>
        <w:pStyle w:val="Para 25"/>
      </w:pPr>
      <w:r>
        <w:t/>
      </w:r>
    </w:p>
    <w:p>
      <w:pPr>
        <w:pStyle w:val="Normal"/>
      </w:pPr>
      <w:r>
        <w:t xml:space="preserve">The Politics of Desktop Administration ........................................................................................13 </w:t>
      </w:r>
    </w:p>
    <w:p>
      <w:pPr>
        <w:pStyle w:val="Para 25"/>
      </w:pPr>
      <w:r>
        <w:t/>
      </w:r>
    </w:p>
    <w:p>
      <w:pPr>
        <w:pStyle w:val="Para 01"/>
      </w:pPr>
      <w:r>
        <w:t xml:space="preserve">Making Decisions that Affect Users ..................................................................................13 </w:t>
      </w:r>
    </w:p>
    <w:p>
      <w:pPr>
        <w:pStyle w:val="Para 25"/>
      </w:pPr>
      <w:r>
        <w:t/>
      </w:r>
    </w:p>
    <w:p>
      <w:pPr>
        <w:pStyle w:val="Para 01"/>
      </w:pPr>
      <w:r>
        <w:t xml:space="preserve">Delegation of Control ........................................................................................................14 </w:t>
      </w:r>
    </w:p>
    <w:p>
      <w:pPr>
        <w:pStyle w:val="Para 25"/>
      </w:pPr>
      <w:r>
        <w:t/>
      </w:r>
    </w:p>
    <w:p>
      <w:pPr>
        <w:pStyle w:val="Para 08"/>
      </w:pPr>
      <w:r>
        <w:t xml:space="preserve">NT Domains...........................................................................................................14 </w:t>
      </w:r>
    </w:p>
    <w:p>
      <w:pPr>
        <w:pStyle w:val="Para 25"/>
      </w:pPr>
      <w:r>
        <w:t/>
      </w:r>
    </w:p>
    <w:p>
      <w:pPr>
        <w:pStyle w:val="Para 08"/>
      </w:pPr>
      <w:r>
        <w:t xml:space="preserve">AD..........................................................................................................................15 </w:t>
      </w:r>
    </w:p>
    <w:p>
      <w:pPr>
        <w:pStyle w:val="Para 25"/>
      </w:pPr>
      <w:r>
        <w:t/>
      </w:r>
    </w:p>
    <w:p>
      <w:pPr>
        <w:pStyle w:val="Para 08"/>
      </w:pPr>
      <w:r>
        <w:t xml:space="preserve">Third-Party Solutions.............................................................................................15 </w:t>
      </w:r>
    </w:p>
    <w:p>
      <w:pPr>
        <w:pStyle w:val="Para 25"/>
      </w:pPr>
      <w:r>
        <w:t/>
      </w:r>
    </w:p>
    <w:p>
      <w:pPr>
        <w:pStyle w:val="Para 01"/>
      </w:pPr>
      <w:r>
        <w:t xml:space="preserve">Working with Users ...........................................................................................................16 </w:t>
      </w:r>
    </w:p>
    <w:p>
      <w:pPr>
        <w:pStyle w:val="Para 25"/>
      </w:pPr>
      <w:r>
        <w:t/>
      </w:r>
    </w:p>
    <w:p>
      <w:pPr>
        <w:pStyle w:val="Normal"/>
      </w:pPr>
      <w:r>
        <w:t xml:space="preserve">Factors in Effective Desktop Administration ................................................................................17 </w:t>
      </w:r>
    </w:p>
    <w:p>
      <w:pPr>
        <w:pStyle w:val="Para 25"/>
      </w:pPr>
      <w:r>
        <w:t/>
      </w:r>
    </w:p>
    <w:p>
      <w:pPr>
        <w:pStyle w:val="Para 01"/>
      </w:pPr>
      <w:r>
        <w:t xml:space="preserve">Standardization ..................................................................................................................17 </w:t>
      </w:r>
    </w:p>
    <w:p>
      <w:pPr>
        <w:pStyle w:val="Para 25"/>
      </w:pPr>
      <w:r>
        <w:t/>
      </w:r>
    </w:p>
    <w:p>
      <w:pPr>
        <w:pStyle w:val="Para 01"/>
      </w:pPr>
      <w:r>
        <w:t xml:space="preserve">Geographic Dispersion.......................................................................................................18 </w:t>
      </w:r>
    </w:p>
    <w:p>
      <w:pPr>
        <w:pStyle w:val="Para 25"/>
      </w:pPr>
      <w:r>
        <w:t/>
      </w:r>
    </w:p>
    <w:p>
      <w:pPr>
        <w:pStyle w:val="Para 01"/>
      </w:pPr>
      <w:r>
        <w:t xml:space="preserve">Dedicated Staffing .............................................................................................................19 </w:t>
      </w:r>
    </w:p>
    <w:p>
      <w:pPr>
        <w:pStyle w:val="Para 25"/>
      </w:pPr>
      <w:r>
        <w:t/>
      </w:r>
    </w:p>
    <w:p>
      <w:pPr>
        <w:pStyle w:val="Para 01"/>
      </w:pPr>
      <w:r>
        <w:t xml:space="preserve">Budget ................................................................................................................................19 </w:t>
      </w:r>
    </w:p>
    <w:p>
      <w:pPr>
        <w:pStyle w:val="Para 25"/>
      </w:pPr>
      <w:r>
        <w:t/>
      </w:r>
    </w:p>
    <w:p>
      <w:pPr>
        <w:pStyle w:val="Para 01"/>
      </w:pPr>
      <w:r>
        <w:t xml:space="preserve">Connectivity .......................................................................................................................20 </w:t>
      </w:r>
    </w:p>
    <w:p>
      <w:pPr>
        <w:pStyle w:val="Para 25"/>
      </w:pPr>
      <w:r>
        <w:t/>
      </w:r>
    </w:p>
    <w:p>
      <w:pPr>
        <w:pStyle w:val="Para 01"/>
      </w:pPr>
      <w:r>
        <w:t xml:space="preserve">Process ...............................................................................................................................20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 name="index-3_1.png" descr="index-3_1.png"/>
            <wp:cNvGraphicFramePr>
              <a:graphicFrameLocks noChangeAspect="1"/>
            </wp:cNvGraphicFramePr>
            <a:graphic>
              <a:graphicData uri="http://schemas.openxmlformats.org/drawingml/2006/picture">
                <pic:pic>
                  <pic:nvPicPr>
                    <pic:cNvPr id="0" name="index-3_1.png" descr="index-3_1.png"/>
                    <pic:cNvPicPr/>
                  </pic:nvPicPr>
                  <pic:blipFill>
                    <a:blip r:embed="rId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5" name="index-3_2.png" descr="index-3_2.png"/>
            <wp:cNvGraphicFramePr>
              <a:graphicFrameLocks noChangeAspect="1"/>
            </wp:cNvGraphicFramePr>
            <a:graphic>
              <a:graphicData uri="http://schemas.openxmlformats.org/drawingml/2006/picture">
                <pic:pic>
                  <pic:nvPicPr>
                    <pic:cNvPr id="0" name="index-3_2.png" descr="index-3_2.png"/>
                    <pic:cNvPicPr/>
                  </pic:nvPicPr>
                  <pic:blipFill>
                    <a:blip r:embed="rId9"/>
                    <a:stretch>
                      <a:fillRect/>
                    </a:stretch>
                  </pic:blipFill>
                  <pic:spPr>
                    <a:xfrm>
                      <a:off x="0" y="0"/>
                      <a:ext cx="914400" cy="444500"/>
                    </a:xfrm>
                    <a:prstGeom prst="rect">
                      <a:avLst/>
                    </a:prstGeom>
                  </pic:spPr>
                </pic:pic>
              </a:graphicData>
            </a:graphic>
          </wp:anchor>
        </w:drawing>
      </w:r>
    </w:p>
    <w:p>
      <w:bookmarkStart w:id="4" w:name="Table_of_Contents_1"/>
      <w:pPr>
        <w:pStyle w:val="Heading 1"/>
      </w:pPr>
      <w:r>
        <w:t>Table of Contents</w:t>
      </w:r>
      <w:bookmarkEnd w:id="4"/>
    </w:p>
    <w:p>
      <w:pPr>
        <w:pStyle w:val="Para 25"/>
      </w:pPr>
      <w:r>
        <w:t/>
      </w:r>
    </w:p>
    <w:p>
      <w:pPr>
        <w:pStyle w:val="Para 01"/>
      </w:pPr>
      <w:r>
        <w:t xml:space="preserve">Security ..............................................................................................................................20 </w:t>
      </w:r>
    </w:p>
    <w:p>
      <w:pPr>
        <w:pStyle w:val="Para 25"/>
      </w:pPr>
      <w:r>
        <w:t/>
      </w:r>
    </w:p>
    <w:p>
      <w:pPr>
        <w:pStyle w:val="Para 01"/>
      </w:pPr>
      <w:r>
        <w:t xml:space="preserve">Desktop Administration in Action .....................................................................................21 </w:t>
      </w:r>
    </w:p>
    <w:p>
      <w:pPr>
        <w:pStyle w:val="Para 25"/>
      </w:pPr>
      <w:r>
        <w:t/>
      </w:r>
    </w:p>
    <w:p>
      <w:pPr>
        <w:pStyle w:val="Para 08"/>
      </w:pPr>
      <w:r>
        <w:t xml:space="preserve">Help Desk Calls .....................................................................................................21 </w:t>
      </w:r>
    </w:p>
    <w:p>
      <w:pPr>
        <w:pStyle w:val="Para 25"/>
      </w:pPr>
      <w:r>
        <w:t/>
      </w:r>
    </w:p>
    <w:p>
      <w:pPr>
        <w:pStyle w:val="Para 08"/>
      </w:pPr>
      <w:r>
        <w:t xml:space="preserve">Handling New Systems..........................................................................................21 </w:t>
      </w:r>
    </w:p>
    <w:p>
      <w:pPr>
        <w:pStyle w:val="Para 25"/>
      </w:pPr>
      <w:r>
        <w:t/>
      </w:r>
    </w:p>
    <w:p>
      <w:pPr>
        <w:pStyle w:val="Normal"/>
      </w:pPr>
      <w:r>
        <w:t xml:space="preserve">Outsourcing Desktop Administration ............................................................................................22 </w:t>
      </w:r>
    </w:p>
    <w:p>
      <w:pPr>
        <w:pStyle w:val="Para 25"/>
      </w:pPr>
      <w:r>
        <w:t/>
      </w:r>
    </w:p>
    <w:p>
      <w:pPr>
        <w:pStyle w:val="Para 01"/>
      </w:pPr>
      <w:r>
        <w:t xml:space="preserve">The Benefits of Outsourcing..............................................................................................22 </w:t>
      </w:r>
    </w:p>
    <w:p>
      <w:pPr>
        <w:pStyle w:val="Para 25"/>
      </w:pPr>
      <w:r>
        <w:t/>
      </w:r>
    </w:p>
    <w:p>
      <w:pPr>
        <w:pStyle w:val="Para 01"/>
      </w:pPr>
      <w:r>
        <w:t xml:space="preserve">The Drawbacks of Outsourcing .........................................................................................23 </w:t>
      </w:r>
    </w:p>
    <w:p>
      <w:pPr>
        <w:pStyle w:val="Para 25"/>
      </w:pPr>
      <w:r>
        <w:t/>
      </w:r>
    </w:p>
    <w:p>
      <w:pPr>
        <w:pStyle w:val="Normal"/>
      </w:pPr>
      <w:r>
        <w:t xml:space="preserve">Summary ........................................................................................................................................23 </w:t>
      </w:r>
    </w:p>
    <w:p>
      <w:pPr>
        <w:pStyle w:val="Para 25"/>
      </w:pPr>
      <w:r>
        <w:t/>
      </w:r>
    </w:p>
    <w:p>
      <w:pPr>
        <w:pStyle w:val="Normal"/>
      </w:pPr>
      <w:r>
        <w:t xml:space="preserve">Chapter 2: OS Deployment ............................................................................................................24 </w:t>
      </w:r>
    </w:p>
    <w:p>
      <w:pPr>
        <w:pStyle w:val="Para 25"/>
      </w:pPr>
      <w:r>
        <w:t/>
      </w:r>
    </w:p>
    <w:p>
      <w:pPr>
        <w:pStyle w:val="Normal"/>
      </w:pPr>
      <w:r>
        <w:t xml:space="preserve">The Workstation Baseline..............................................................................................................24 </w:t>
      </w:r>
    </w:p>
    <w:p>
      <w:pPr>
        <w:pStyle w:val="Para 25"/>
      </w:pPr>
      <w:r>
        <w:t/>
      </w:r>
    </w:p>
    <w:p>
      <w:pPr>
        <w:pStyle w:val="Para 01"/>
      </w:pPr>
      <w:r>
        <w:t xml:space="preserve">Benefits ..............................................................................................................................24 </w:t>
      </w:r>
    </w:p>
    <w:p>
      <w:pPr>
        <w:pStyle w:val="Para 25"/>
      </w:pPr>
      <w:r>
        <w:t/>
      </w:r>
    </w:p>
    <w:p>
      <w:pPr>
        <w:pStyle w:val="Para 08"/>
      </w:pPr>
      <w:r>
        <w:t xml:space="preserve">Increased Reliability ..............................................................................................24 </w:t>
      </w:r>
    </w:p>
    <w:p>
      <w:pPr>
        <w:pStyle w:val="Para 25"/>
      </w:pPr>
      <w:r>
        <w:t/>
      </w:r>
    </w:p>
    <w:p>
      <w:pPr>
        <w:pStyle w:val="Para 08"/>
      </w:pPr>
      <w:r>
        <w:t xml:space="preserve">Increased Deployment Speed.................................................................................24 </w:t>
      </w:r>
    </w:p>
    <w:p>
      <w:pPr>
        <w:pStyle w:val="Para 25"/>
      </w:pPr>
      <w:r>
        <w:t/>
      </w:r>
    </w:p>
    <w:p>
      <w:pPr>
        <w:pStyle w:val="Para 08"/>
      </w:pPr>
      <w:r>
        <w:t xml:space="preserve">Ease of Troubleshooting ........................................................................................25 </w:t>
      </w:r>
    </w:p>
    <w:p>
      <w:pPr>
        <w:pStyle w:val="Para 25"/>
      </w:pPr>
      <w:r>
        <w:t/>
      </w:r>
    </w:p>
    <w:p>
      <w:pPr>
        <w:pStyle w:val="Para 01"/>
      </w:pPr>
      <w:r>
        <w:t xml:space="preserve">Drawbacks..........................................................................................................................25 </w:t>
      </w:r>
    </w:p>
    <w:p>
      <w:pPr>
        <w:pStyle w:val="Para 25"/>
      </w:pPr>
      <w:r>
        <w:t/>
      </w:r>
    </w:p>
    <w:p>
      <w:pPr>
        <w:pStyle w:val="Para 01"/>
      </w:pPr>
      <w:r>
        <w:t xml:space="preserve">Baseline Components.........................................................................................................25 </w:t>
      </w:r>
    </w:p>
    <w:p>
      <w:pPr>
        <w:pStyle w:val="Para 25"/>
      </w:pPr>
      <w:r>
        <w:t/>
      </w:r>
    </w:p>
    <w:p>
      <w:pPr>
        <w:pStyle w:val="Para 08"/>
      </w:pPr>
      <w:r>
        <w:t xml:space="preserve">What to Leave In....................................................................................................26 </w:t>
      </w:r>
    </w:p>
    <w:p>
      <w:pPr>
        <w:pStyle w:val="Para 25"/>
      </w:pPr>
      <w:r>
        <w:t/>
      </w:r>
    </w:p>
    <w:p>
      <w:pPr>
        <w:pStyle w:val="Para 08"/>
      </w:pPr>
      <w:r>
        <w:t xml:space="preserve">What to Leave Out .................................................................................................26 </w:t>
      </w:r>
    </w:p>
    <w:p>
      <w:pPr>
        <w:pStyle w:val="Para 25"/>
      </w:pPr>
      <w:r>
        <w:t/>
      </w:r>
    </w:p>
    <w:p>
      <w:pPr>
        <w:pStyle w:val="Para 01"/>
      </w:pPr>
      <w:r>
        <w:t xml:space="preserve">Common Pitfalls to Avoid .................................................................................................26 </w:t>
      </w:r>
    </w:p>
    <w:p>
      <w:pPr>
        <w:pStyle w:val="Para 25"/>
      </w:pPr>
      <w:r>
        <w:t/>
      </w:r>
    </w:p>
    <w:p>
      <w:pPr>
        <w:pStyle w:val="Para 08"/>
      </w:pPr>
      <w:r>
        <w:t xml:space="preserve">MSI Source Resiliency ..........................................................................................26 </w:t>
      </w:r>
    </w:p>
    <w:p>
      <w:pPr>
        <w:pStyle w:val="Para 25"/>
      </w:pPr>
      <w:r>
        <w:t/>
      </w:r>
    </w:p>
    <w:p>
      <w:pPr>
        <w:pStyle w:val="Para 08"/>
      </w:pPr>
      <w:r>
        <w:t xml:space="preserve">Non-Essential Data ................................................................................................27 </w:t>
      </w:r>
    </w:p>
    <w:p>
      <w:pPr>
        <w:pStyle w:val="Para 25"/>
      </w:pPr>
      <w:r>
        <w:t/>
      </w:r>
    </w:p>
    <w:p>
      <w:pPr>
        <w:pStyle w:val="Para 08"/>
      </w:pPr>
      <w:r>
        <w:t xml:space="preserve">Classified or Company Proprietary Information....................................................27 </w:t>
      </w:r>
    </w:p>
    <w:p>
      <w:pPr>
        <w:pStyle w:val="Para 25"/>
      </w:pPr>
      <w:r>
        <w:t/>
      </w:r>
    </w:p>
    <w:p>
      <w:pPr>
        <w:pStyle w:val="Para 08"/>
      </w:pPr>
      <w:r>
        <w:t xml:space="preserve">Globally Unique Identifiers ...................................................................................28 </w:t>
      </w:r>
    </w:p>
    <w:p>
      <w:pPr>
        <w:pStyle w:val="Para 25"/>
      </w:pPr>
      <w:r>
        <w:t/>
      </w:r>
    </w:p>
    <w:p>
      <w:pPr>
        <w:pStyle w:val="Para 08"/>
      </w:pPr>
      <w:r>
        <w:t xml:space="preserve">Profiles ...................................................................................................................28 </w:t>
      </w:r>
    </w:p>
    <w:p>
      <w:pPr>
        <w:pStyle w:val="Para 25"/>
      </w:pPr>
      <w:r>
        <w:t/>
      </w:r>
    </w:p>
    <w:p>
      <w:pPr>
        <w:pStyle w:val="Para 08"/>
      </w:pPr>
      <w:r>
        <w:t xml:space="preserve">Security Identification Numbers ............................................................................29 </w:t>
      </w:r>
    </w:p>
    <w:p>
      <w:pPr>
        <w:pStyle w:val="Para 25"/>
      </w:pPr>
      <w:r>
        <w:t/>
      </w:r>
    </w:p>
    <w:p>
      <w:pPr>
        <w:pStyle w:val="Para 01"/>
      </w:pPr>
      <w:r>
        <w:t xml:space="preserve">Initial Build Size ................................................................................................................31 </w:t>
      </w:r>
    </w:p>
    <w:p>
      <w:pPr>
        <w:pStyle w:val="Para 25"/>
      </w:pPr>
      <w:r>
        <w:t/>
      </w:r>
    </w:p>
    <w:p>
      <w:pPr>
        <w:pStyle w:val="Normal"/>
      </w:pPr>
      <w:r>
        <w:t xml:space="preserve">Staging a Deployment....................................................................................................................33 </w:t>
      </w:r>
    </w:p>
    <w:p>
      <w:pPr>
        <w:pStyle w:val="Para 25"/>
      </w:pPr>
      <w:r>
        <w:t/>
      </w:r>
    </w:p>
    <w:p>
      <w:pPr>
        <w:pStyle w:val="Para 01"/>
      </w:pPr>
      <w:r>
        <w:t xml:space="preserve">Benefits ..............................................................................................................................33 </w:t>
      </w:r>
    </w:p>
    <w:p>
      <w:pPr>
        <w:pStyle w:val="Para 25"/>
      </w:pPr>
      <w:r>
        <w:t/>
      </w:r>
    </w:p>
    <w:p>
      <w:pPr>
        <w:pStyle w:val="Para 08"/>
      </w:pPr>
      <w:r>
        <w:t xml:space="preserve">Less Time Spent at the Users’ Desks.....................................................................33 </w:t>
      </w:r>
    </w:p>
    <w:p>
      <w:pPr>
        <w:pStyle w:val="Para 25"/>
      </w:pPr>
      <w:r>
        <w:t/>
      </w:r>
    </w:p>
    <w:p>
      <w:pPr>
        <w:pStyle w:val="Para 08"/>
      </w:pPr>
      <w:r>
        <w:t xml:space="preserve">Controlled Network Environment..........................................................................34 </w:t>
      </w:r>
    </w:p>
    <w:p>
      <w:pPr>
        <w:pStyle w:val="Para 25"/>
      </w:pPr>
      <w:r>
        <w:t/>
      </w:r>
    </w:p>
    <w:p>
      <w:pPr>
        <w:pStyle w:val="Para 08"/>
      </w:pPr>
      <w:r>
        <w:t xml:space="preserve">Early Identification of Failed Systems...................................................................34 </w:t>
      </w:r>
    </w:p>
    <w:p>
      <w:pPr>
        <w:pStyle w:val="Para 25"/>
      </w:pPr>
      <w:r>
        <w:t/>
      </w:r>
    </w:p>
    <w:p>
      <w:pPr>
        <w:pStyle w:val="Para 01"/>
      </w:pPr>
      <w:r>
        <w:t xml:space="preserve">Drawbacks..........................................................................................................................35 </w:t>
      </w:r>
    </w:p>
    <w:p>
      <w:pPr>
        <w:pStyle w:val="Para 25"/>
      </w:pPr>
      <w:r>
        <w:t/>
      </w:r>
    </w:p>
    <w:p>
      <w:pPr>
        <w:pStyle w:val="Para 08"/>
      </w:pPr>
      <w:r>
        <w:t xml:space="preserve">Location-Specific Actions .....................................................................................35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6" name="index-4_1.png" descr="index-4_1.png"/>
            <wp:cNvGraphicFramePr>
              <a:graphicFrameLocks noChangeAspect="1"/>
            </wp:cNvGraphicFramePr>
            <a:graphic>
              <a:graphicData uri="http://schemas.openxmlformats.org/drawingml/2006/picture">
                <pic:pic>
                  <pic:nvPicPr>
                    <pic:cNvPr id="0" name="index-4_1.png" descr="index-4_1.png"/>
                    <pic:cNvPicPr/>
                  </pic:nvPicPr>
                  <pic:blipFill>
                    <a:blip r:embed="rId1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7" name="index-4_2.png" descr="index-4_2.png"/>
            <wp:cNvGraphicFramePr>
              <a:graphicFrameLocks noChangeAspect="1"/>
            </wp:cNvGraphicFramePr>
            <a:graphic>
              <a:graphicData uri="http://schemas.openxmlformats.org/drawingml/2006/picture">
                <pic:pic>
                  <pic:nvPicPr>
                    <pic:cNvPr id="0" name="index-4_2.png" descr="index-4_2.png"/>
                    <pic:cNvPicPr/>
                  </pic:nvPicPr>
                  <pic:blipFill>
                    <a:blip r:embed="rId11"/>
                    <a:stretch>
                      <a:fillRect/>
                    </a:stretch>
                  </pic:blipFill>
                  <pic:spPr>
                    <a:xfrm>
                      <a:off x="0" y="0"/>
                      <a:ext cx="914400" cy="444500"/>
                    </a:xfrm>
                    <a:prstGeom prst="rect">
                      <a:avLst/>
                    </a:prstGeom>
                  </pic:spPr>
                </pic:pic>
              </a:graphicData>
            </a:graphic>
          </wp:anchor>
        </w:drawing>
      </w:r>
    </w:p>
    <w:p>
      <w:bookmarkStart w:id="5" w:name="Table_of_Contents_2"/>
      <w:pPr>
        <w:pStyle w:val="Heading 1"/>
      </w:pPr>
      <w:r>
        <w:t>Table of Contents</w:t>
      </w:r>
      <w:bookmarkEnd w:id="5"/>
    </w:p>
    <w:p>
      <w:pPr>
        <w:pStyle w:val="Para 25"/>
      </w:pPr>
      <w:r>
        <w:t/>
      </w:r>
    </w:p>
    <w:p>
      <w:pPr>
        <w:pStyle w:val="Para 08"/>
      </w:pPr>
      <w:r>
        <w:t xml:space="preserve">Slow Delivery in a Changing Environment ...........................................................35 </w:t>
      </w:r>
    </w:p>
    <w:p>
      <w:pPr>
        <w:pStyle w:val="Para 25"/>
      </w:pPr>
      <w:r>
        <w:t/>
      </w:r>
    </w:p>
    <w:p>
      <w:pPr>
        <w:pStyle w:val="Normal"/>
      </w:pPr>
      <w:r>
        <w:t xml:space="preserve">Deployment Methods.....................................................................................................................35 </w:t>
      </w:r>
    </w:p>
    <w:p>
      <w:pPr>
        <w:pStyle w:val="Para 25"/>
      </w:pPr>
      <w:r>
        <w:t/>
      </w:r>
    </w:p>
    <w:p>
      <w:pPr>
        <w:pStyle w:val="Para 01"/>
      </w:pPr>
      <w:r>
        <w:t xml:space="preserve">Manual Installation ............................................................................................................35 </w:t>
      </w:r>
    </w:p>
    <w:p>
      <w:pPr>
        <w:pStyle w:val="Para 25"/>
      </w:pPr>
      <w:r>
        <w:t/>
      </w:r>
    </w:p>
    <w:p>
      <w:pPr>
        <w:pStyle w:val="Para 01"/>
      </w:pPr>
      <w:r>
        <w:t xml:space="preserve">Unattended Installations.....................................................................................................37 </w:t>
      </w:r>
    </w:p>
    <w:p>
      <w:pPr>
        <w:pStyle w:val="Para 25"/>
      </w:pPr>
      <w:r>
        <w:t/>
      </w:r>
    </w:p>
    <w:p>
      <w:pPr>
        <w:pStyle w:val="Para 01"/>
      </w:pPr>
      <w:r>
        <w:t xml:space="preserve">Microsoft Solutions............................................................................................................38 </w:t>
      </w:r>
    </w:p>
    <w:p>
      <w:pPr>
        <w:pStyle w:val="Para 25"/>
      </w:pPr>
      <w:r>
        <w:t/>
      </w:r>
    </w:p>
    <w:p>
      <w:pPr>
        <w:pStyle w:val="Para 08"/>
      </w:pPr>
      <w:r>
        <w:t xml:space="preserve">Sysprep...................................................................................................................38 </w:t>
      </w:r>
    </w:p>
    <w:p>
      <w:pPr>
        <w:pStyle w:val="Para 25"/>
      </w:pPr>
      <w:r>
        <w:t/>
      </w:r>
    </w:p>
    <w:p>
      <w:pPr>
        <w:pStyle w:val="Para 08"/>
      </w:pPr>
      <w:r>
        <w:t xml:space="preserve">Unattend.txt............................................................................................................40 </w:t>
      </w:r>
    </w:p>
    <w:p>
      <w:pPr>
        <w:pStyle w:val="Para 25"/>
      </w:pPr>
      <w:r>
        <w:t/>
      </w:r>
    </w:p>
    <w:p>
      <w:pPr>
        <w:pStyle w:val="Para 08"/>
      </w:pPr>
      <w:r>
        <w:t xml:space="preserve">$OEM$...................................................................................................................41 </w:t>
      </w:r>
    </w:p>
    <w:p>
      <w:pPr>
        <w:pStyle w:val="Para 25"/>
      </w:pPr>
      <w:r>
        <w:t/>
      </w:r>
    </w:p>
    <w:p>
      <w:pPr>
        <w:pStyle w:val="Para 08"/>
      </w:pPr>
      <w:r>
        <w:t xml:space="preserve">Cmdlines.txt ...........................................................................................................41 </w:t>
      </w:r>
    </w:p>
    <w:p>
      <w:pPr>
        <w:pStyle w:val="Para 25"/>
      </w:pPr>
      <w:r>
        <w:t/>
      </w:r>
    </w:p>
    <w:p>
      <w:pPr>
        <w:pStyle w:val="Para 01"/>
      </w:pPr>
      <w:r>
        <w:t xml:space="preserve">Third-Party Solutions.........................................................................................................41 </w:t>
      </w:r>
    </w:p>
    <w:p>
      <w:pPr>
        <w:pStyle w:val="Para 25"/>
      </w:pPr>
      <w:r>
        <w:t/>
      </w:r>
    </w:p>
    <w:p>
      <w:pPr>
        <w:pStyle w:val="Para 01"/>
      </w:pPr>
      <w:r>
        <w:t xml:space="preserve">Drive Imaging ....................................................................................................................42 </w:t>
      </w:r>
    </w:p>
    <w:p>
      <w:pPr>
        <w:pStyle w:val="Para 25"/>
      </w:pPr>
      <w:r>
        <w:t/>
      </w:r>
    </w:p>
    <w:p>
      <w:pPr>
        <w:pStyle w:val="Para 08"/>
      </w:pPr>
      <w:r>
        <w:t xml:space="preserve">Available Solutions................................................................................................44 </w:t>
      </w:r>
    </w:p>
    <w:p>
      <w:pPr>
        <w:pStyle w:val="Para 25"/>
      </w:pPr>
      <w:r>
        <w:t/>
      </w:r>
    </w:p>
    <w:p>
      <w:pPr>
        <w:pStyle w:val="Para 08"/>
      </w:pPr>
      <w:r>
        <w:t xml:space="preserve">Which Is Right For You? .......................................................................................47 </w:t>
      </w:r>
    </w:p>
    <w:p>
      <w:pPr>
        <w:pStyle w:val="Para 25"/>
      </w:pPr>
      <w:r>
        <w:t/>
      </w:r>
    </w:p>
    <w:p>
      <w:pPr>
        <w:pStyle w:val="Para 01"/>
      </w:pPr>
      <w:r>
        <w:t xml:space="preserve">Drive Duplication...............................................................................................................47 </w:t>
      </w:r>
    </w:p>
    <w:p>
      <w:pPr>
        <w:pStyle w:val="Para 25"/>
      </w:pPr>
      <w:r>
        <w:t/>
      </w:r>
    </w:p>
    <w:p>
      <w:pPr>
        <w:pStyle w:val="Para 08"/>
      </w:pPr>
      <w:r>
        <w:t xml:space="preserve">Available Solutions................................................................................................48 </w:t>
      </w:r>
    </w:p>
    <w:p>
      <w:pPr>
        <w:pStyle w:val="Para 25"/>
      </w:pPr>
      <w:r>
        <w:t/>
      </w:r>
    </w:p>
    <w:p>
      <w:pPr>
        <w:pStyle w:val="Normal"/>
      </w:pPr>
      <w:r>
        <w:t xml:space="preserve">OS Deployment Best Practices ......................................................................................................48 </w:t>
      </w:r>
    </w:p>
    <w:p>
      <w:pPr>
        <w:pStyle w:val="Para 25"/>
      </w:pPr>
      <w:r>
        <w:t/>
      </w:r>
    </w:p>
    <w:p>
      <w:pPr>
        <w:pStyle w:val="Para 01"/>
      </w:pPr>
      <w:r>
        <w:t xml:space="preserve">Workstation Naming Conventions.....................................................................................48 </w:t>
      </w:r>
    </w:p>
    <w:p>
      <w:pPr>
        <w:pStyle w:val="Para 25"/>
      </w:pPr>
      <w:r>
        <w:t/>
      </w:r>
    </w:p>
    <w:p>
      <w:pPr>
        <w:pStyle w:val="Para 01"/>
      </w:pPr>
      <w:r>
        <w:t xml:space="preserve">System Build Information..................................................................................................50 </w:t>
      </w:r>
    </w:p>
    <w:p>
      <w:pPr>
        <w:pStyle w:val="Para 25"/>
      </w:pPr>
      <w:r>
        <w:t/>
      </w:r>
    </w:p>
    <w:p>
      <w:pPr>
        <w:pStyle w:val="Para 01"/>
      </w:pPr>
      <w:r>
        <w:t xml:space="preserve">Image Identification ...........................................................................................................50 </w:t>
      </w:r>
    </w:p>
    <w:p>
      <w:pPr>
        <w:pStyle w:val="Para 25"/>
      </w:pPr>
      <w:r>
        <w:t/>
      </w:r>
    </w:p>
    <w:p>
      <w:pPr>
        <w:pStyle w:val="Normal"/>
      </w:pPr>
      <w:r>
        <w:t xml:space="preserve">Summary ........................................................................................................................................50 </w:t>
      </w:r>
    </w:p>
    <w:p>
      <w:pPr>
        <w:pStyle w:val="Para 25"/>
      </w:pPr>
      <w:r>
        <w:t/>
      </w:r>
    </w:p>
    <w:p>
      <w:pPr>
        <w:pStyle w:val="Normal"/>
      </w:pPr>
      <w:r>
        <w:t xml:space="preserve">Chapter 3: User Profile and Data Management .............................................................................51 </w:t>
      </w:r>
    </w:p>
    <w:p>
      <w:pPr>
        <w:pStyle w:val="Para 25"/>
      </w:pPr>
      <w:r>
        <w:t/>
      </w:r>
    </w:p>
    <w:p>
      <w:pPr>
        <w:pStyle w:val="Normal"/>
      </w:pPr>
      <w:r>
        <w:t xml:space="preserve">User Profiles...................................................................................................................................52 </w:t>
      </w:r>
    </w:p>
    <w:p>
      <w:pPr>
        <w:pStyle w:val="Para 25"/>
      </w:pPr>
      <w:r>
        <w:t/>
      </w:r>
    </w:p>
    <w:p>
      <w:pPr>
        <w:pStyle w:val="Para 01"/>
      </w:pPr>
      <w:r>
        <w:t xml:space="preserve">Local Profiles .....................................................................................................................53 </w:t>
      </w:r>
    </w:p>
    <w:p>
      <w:pPr>
        <w:pStyle w:val="Para 25"/>
      </w:pPr>
      <w:r>
        <w:t/>
      </w:r>
    </w:p>
    <w:p>
      <w:pPr>
        <w:pStyle w:val="Para 01"/>
      </w:pPr>
      <w:r>
        <w:t xml:space="preserve">Roaming Profiles ...............................................................................................................54 </w:t>
      </w:r>
    </w:p>
    <w:p>
      <w:pPr>
        <w:pStyle w:val="Para 25"/>
      </w:pPr>
      <w:r>
        <w:t/>
      </w:r>
    </w:p>
    <w:p>
      <w:pPr>
        <w:pStyle w:val="Para 01"/>
      </w:pPr>
      <w:r>
        <w:t xml:space="preserve">Mandatory User Profiles ....................................................................................................60 </w:t>
      </w:r>
    </w:p>
    <w:p>
      <w:pPr>
        <w:pStyle w:val="Para 25"/>
      </w:pPr>
      <w:r>
        <w:t/>
      </w:r>
    </w:p>
    <w:p>
      <w:pPr>
        <w:pStyle w:val="Para 01"/>
      </w:pPr>
      <w:r>
        <w:t xml:space="preserve">Temporary User Profiles....................................................................................................60 </w:t>
      </w:r>
    </w:p>
    <w:p>
      <w:pPr>
        <w:pStyle w:val="Para 25"/>
      </w:pPr>
      <w:r>
        <w:t/>
      </w:r>
    </w:p>
    <w:p>
      <w:pPr>
        <w:pStyle w:val="Para 01"/>
      </w:pPr>
      <w:r>
        <w:t xml:space="preserve">Profile Security ..................................................................................................................60 </w:t>
      </w:r>
    </w:p>
    <w:p>
      <w:pPr>
        <w:pStyle w:val="Para 25"/>
      </w:pPr>
      <w:r>
        <w:t/>
      </w:r>
    </w:p>
    <w:p>
      <w:pPr>
        <w:pStyle w:val="Para 01"/>
      </w:pPr>
      <w:r>
        <w:t xml:space="preserve">Contents of a User Profile..................................................................................................60 </w:t>
      </w:r>
    </w:p>
    <w:p>
      <w:pPr>
        <w:pStyle w:val="Para 25"/>
      </w:pPr>
      <w:r>
        <w:t/>
      </w:r>
    </w:p>
    <w:p>
      <w:pPr>
        <w:pStyle w:val="Para 01"/>
      </w:pPr>
      <w:r>
        <w:t xml:space="preserve">User Profile Storage ...........................................................................................................62 </w:t>
      </w:r>
    </w:p>
    <w:p>
      <w:pPr>
        <w:pStyle w:val="Para 25"/>
      </w:pPr>
      <w:r>
        <w:t/>
      </w:r>
    </w:p>
    <w:p>
      <w:pPr>
        <w:pStyle w:val="Para 01"/>
      </w:pPr>
      <w:r>
        <w:t xml:space="preserve">Profiles Templates .............................................................................................................62 </w:t>
      </w:r>
    </w:p>
    <w:p>
      <w:pPr>
        <w:pStyle w:val="Para 25"/>
      </w:pPr>
      <w:r>
        <w:t/>
      </w:r>
    </w:p>
    <w:p>
      <w:pPr>
        <w:pStyle w:val="Para 01"/>
      </w:pPr>
      <w:r>
        <w:t xml:space="preserve">Default Profiles ..................................................................................................................63 </w:t>
      </w:r>
    </w:p>
    <w:p>
      <w:pPr>
        <w:pStyle w:val="Para 25"/>
      </w:pPr>
      <w:r>
        <w:t/>
      </w:r>
    </w:p>
    <w:p>
      <w:pPr>
        <w:pStyle w:val="Para 01"/>
      </w:pPr>
      <w:r>
        <w:t xml:space="preserve">Manual Profile Modifications ............................................................................................64 </w:t>
      </w:r>
    </w:p>
    <w:p>
      <w:pPr>
        <w:pStyle w:val="Para 25"/>
      </w:pPr>
      <w:r>
        <w:t/>
      </w:r>
    </w:p>
    <w:p>
      <w:pPr>
        <w:pStyle w:val="Normal"/>
      </w:pPr>
      <w:r>
        <w:t xml:space="preserve">Dictating Data Storage ...................................................................................................................65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8" name="index-5_1.png" descr="index-5_1.png"/>
            <wp:cNvGraphicFramePr>
              <a:graphicFrameLocks noChangeAspect="1"/>
            </wp:cNvGraphicFramePr>
            <a:graphic>
              <a:graphicData uri="http://schemas.openxmlformats.org/drawingml/2006/picture">
                <pic:pic>
                  <pic:nvPicPr>
                    <pic:cNvPr id="0" name="index-5_1.png" descr="index-5_1.png"/>
                    <pic:cNvPicPr/>
                  </pic:nvPicPr>
                  <pic:blipFill>
                    <a:blip r:embed="rId1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9" name="index-5_2.png" descr="index-5_2.png"/>
            <wp:cNvGraphicFramePr>
              <a:graphicFrameLocks noChangeAspect="1"/>
            </wp:cNvGraphicFramePr>
            <a:graphic>
              <a:graphicData uri="http://schemas.openxmlformats.org/drawingml/2006/picture">
                <pic:pic>
                  <pic:nvPicPr>
                    <pic:cNvPr id="0" name="index-5_2.png" descr="index-5_2.png"/>
                    <pic:cNvPicPr/>
                  </pic:nvPicPr>
                  <pic:blipFill>
                    <a:blip r:embed="rId13"/>
                    <a:stretch>
                      <a:fillRect/>
                    </a:stretch>
                  </pic:blipFill>
                  <pic:spPr>
                    <a:xfrm>
                      <a:off x="0" y="0"/>
                      <a:ext cx="914400" cy="444500"/>
                    </a:xfrm>
                    <a:prstGeom prst="rect">
                      <a:avLst/>
                    </a:prstGeom>
                  </pic:spPr>
                </pic:pic>
              </a:graphicData>
            </a:graphic>
          </wp:anchor>
        </w:drawing>
      </w:r>
    </w:p>
    <w:p>
      <w:bookmarkStart w:id="6" w:name="Table_of_Contents_3"/>
      <w:pPr>
        <w:pStyle w:val="Heading 1"/>
      </w:pPr>
      <w:r>
        <w:t>Table of Contents</w:t>
      </w:r>
      <w:bookmarkEnd w:id="6"/>
    </w:p>
    <w:p>
      <w:pPr>
        <w:pStyle w:val="Para 25"/>
      </w:pPr>
      <w:r>
        <w:t/>
      </w:r>
    </w:p>
    <w:p>
      <w:pPr>
        <w:pStyle w:val="Para 01"/>
      </w:pPr>
      <w:r>
        <w:t xml:space="preserve">Network Share ...................................................................................................................65 </w:t>
      </w:r>
    </w:p>
    <w:p>
      <w:pPr>
        <w:pStyle w:val="Para 25"/>
      </w:pPr>
      <w:r>
        <w:t/>
      </w:r>
    </w:p>
    <w:p>
      <w:pPr>
        <w:pStyle w:val="Para 08"/>
      </w:pPr>
      <w:r>
        <w:t xml:space="preserve">User Home Directory .............................................................................................65 </w:t>
      </w:r>
    </w:p>
    <w:p>
      <w:pPr>
        <w:pStyle w:val="Para 25"/>
      </w:pPr>
      <w:r>
        <w:t/>
      </w:r>
    </w:p>
    <w:p>
      <w:pPr>
        <w:pStyle w:val="Para 08"/>
      </w:pPr>
      <w:r>
        <w:t xml:space="preserve">Single Share ...........................................................................................................66 </w:t>
      </w:r>
    </w:p>
    <w:p>
      <w:pPr>
        <w:pStyle w:val="Para 25"/>
      </w:pPr>
      <w:r>
        <w:t/>
      </w:r>
    </w:p>
    <w:p>
      <w:pPr>
        <w:pStyle w:val="Para 08"/>
      </w:pPr>
      <w:r>
        <w:t xml:space="preserve">Individual User Shares ...........................................................................................66 </w:t>
      </w:r>
    </w:p>
    <w:p>
      <w:pPr>
        <w:pStyle w:val="Para 25"/>
      </w:pPr>
      <w:r>
        <w:t/>
      </w:r>
    </w:p>
    <w:p>
      <w:pPr>
        <w:pStyle w:val="Para 01"/>
      </w:pPr>
      <w:r>
        <w:t xml:space="preserve">User Profile ........................................................................................................................66 </w:t>
      </w:r>
    </w:p>
    <w:p>
      <w:pPr>
        <w:pStyle w:val="Para 25"/>
      </w:pPr>
      <w:r>
        <w:t/>
      </w:r>
    </w:p>
    <w:p>
      <w:pPr>
        <w:pStyle w:val="Para 01"/>
      </w:pPr>
      <w:r>
        <w:t xml:space="preserve">Local Data Directory..........................................................................................................67 </w:t>
      </w:r>
    </w:p>
    <w:p>
      <w:pPr>
        <w:pStyle w:val="Para 25"/>
      </w:pPr>
      <w:r>
        <w:t/>
      </w:r>
    </w:p>
    <w:p>
      <w:pPr>
        <w:pStyle w:val="Para 08"/>
      </w:pPr>
      <w:r>
        <w:t xml:space="preserve">Setting Default Paths..............................................................................................67 </w:t>
      </w:r>
    </w:p>
    <w:p>
      <w:pPr>
        <w:pStyle w:val="Para 25"/>
      </w:pPr>
      <w:r>
        <w:t/>
      </w:r>
    </w:p>
    <w:p>
      <w:pPr>
        <w:pStyle w:val="Para 08"/>
      </w:pPr>
      <w:r>
        <w:t xml:space="preserve">Folder Redirection .................................................................................................67 </w:t>
      </w:r>
    </w:p>
    <w:p>
      <w:pPr>
        <w:pStyle w:val="Para 25"/>
      </w:pPr>
      <w:r>
        <w:t/>
      </w:r>
    </w:p>
    <w:p>
      <w:pPr>
        <w:pStyle w:val="Para 08"/>
      </w:pPr>
      <w:r>
        <w:t xml:space="preserve">Folder Redirection via Shell Folders .....................................................................69 </w:t>
      </w:r>
    </w:p>
    <w:p>
      <w:pPr>
        <w:pStyle w:val="Para 25"/>
      </w:pPr>
      <w:r>
        <w:t/>
      </w:r>
    </w:p>
    <w:p>
      <w:pPr>
        <w:pStyle w:val="Para 01"/>
      </w:pPr>
      <w:r>
        <w:t xml:space="preserve">User Profile Quotas............................................................................................................70 </w:t>
      </w:r>
    </w:p>
    <w:p>
      <w:pPr>
        <w:pStyle w:val="Para 25"/>
      </w:pPr>
      <w:r>
        <w:t/>
      </w:r>
    </w:p>
    <w:p>
      <w:pPr>
        <w:pStyle w:val="Normal"/>
      </w:pPr>
      <w:r>
        <w:t xml:space="preserve">Post Deployment Profile Configuration.........................................................................................73 </w:t>
      </w:r>
    </w:p>
    <w:p>
      <w:pPr>
        <w:pStyle w:val="Para 25"/>
      </w:pPr>
      <w:r>
        <w:t/>
      </w:r>
    </w:p>
    <w:p>
      <w:pPr>
        <w:pStyle w:val="Para 01"/>
      </w:pPr>
      <w:r>
        <w:t xml:space="preserve">Dictating Settings at Startup ..............................................................................................73 </w:t>
      </w:r>
    </w:p>
    <w:p>
      <w:pPr>
        <w:pStyle w:val="Para 25"/>
      </w:pPr>
      <w:r>
        <w:t/>
      </w:r>
    </w:p>
    <w:p>
      <w:pPr>
        <w:pStyle w:val="Para 01"/>
      </w:pPr>
      <w:r>
        <w:t xml:space="preserve">Dictating Settings at Logon ...............................................................................................74 </w:t>
      </w:r>
    </w:p>
    <w:p>
      <w:pPr>
        <w:pStyle w:val="Para 25"/>
      </w:pPr>
      <w:r>
        <w:t/>
      </w:r>
    </w:p>
    <w:p>
      <w:pPr>
        <w:pStyle w:val="Normal"/>
      </w:pPr>
      <w:r>
        <w:t xml:space="preserve">Additional Tools ............................................................................................................................74 </w:t>
      </w:r>
    </w:p>
    <w:p>
      <w:pPr>
        <w:pStyle w:val="Para 25"/>
      </w:pPr>
      <w:r>
        <w:t/>
      </w:r>
    </w:p>
    <w:p>
      <w:pPr>
        <w:pStyle w:val="Para 01"/>
      </w:pPr>
      <w:r>
        <w:t xml:space="preserve">ScriptLogic.........................................................................................................................74 </w:t>
      </w:r>
    </w:p>
    <w:p>
      <w:pPr>
        <w:pStyle w:val="Para 25"/>
      </w:pPr>
      <w:r>
        <w:t/>
      </w:r>
    </w:p>
    <w:p>
      <w:pPr>
        <w:pStyle w:val="Para 01"/>
      </w:pPr>
      <w:r>
        <w:t xml:space="preserve">Visual KIX .........................................................................................................................76 </w:t>
      </w:r>
    </w:p>
    <w:p>
      <w:pPr>
        <w:pStyle w:val="Para 25"/>
      </w:pPr>
      <w:r>
        <w:t/>
      </w:r>
    </w:p>
    <w:p>
      <w:pPr>
        <w:pStyle w:val="Normal"/>
      </w:pPr>
      <w:r>
        <w:t xml:space="preserve">Backing Up and Restoring Profiles................................................................................................77 </w:t>
      </w:r>
    </w:p>
    <w:p>
      <w:pPr>
        <w:pStyle w:val="Para 25"/>
      </w:pPr>
      <w:r>
        <w:t/>
      </w:r>
    </w:p>
    <w:p>
      <w:pPr>
        <w:pStyle w:val="Para 01"/>
      </w:pPr>
      <w:r>
        <w:t xml:space="preserve">Traditional Backup Systems ..............................................................................................77 </w:t>
      </w:r>
    </w:p>
    <w:p>
      <w:pPr>
        <w:pStyle w:val="Para 25"/>
      </w:pPr>
      <w:r>
        <w:t/>
      </w:r>
    </w:p>
    <w:p>
      <w:pPr>
        <w:pStyle w:val="Para 01"/>
      </w:pPr>
      <w:r>
        <w:t xml:space="preserve">Scripted Copies ..................................................................................................................78 </w:t>
      </w:r>
    </w:p>
    <w:p>
      <w:pPr>
        <w:pStyle w:val="Para 25"/>
      </w:pPr>
      <w:r>
        <w:t/>
      </w:r>
    </w:p>
    <w:p>
      <w:pPr>
        <w:pStyle w:val="Para 01"/>
      </w:pPr>
      <w:r>
        <w:t xml:space="preserve">Migration Tools .................................................................................................................79 </w:t>
      </w:r>
    </w:p>
    <w:p>
      <w:pPr>
        <w:pStyle w:val="Para 25"/>
      </w:pPr>
      <w:r>
        <w:t/>
      </w:r>
    </w:p>
    <w:p>
      <w:pPr>
        <w:pStyle w:val="Normal"/>
      </w:pPr>
      <w:r>
        <w:t xml:space="preserve">Troubleshooting Profiles................................................................................................................79 </w:t>
      </w:r>
    </w:p>
    <w:p>
      <w:pPr>
        <w:pStyle w:val="Para 25"/>
      </w:pPr>
      <w:r>
        <w:t/>
      </w:r>
    </w:p>
    <w:p>
      <w:pPr>
        <w:pStyle w:val="Para 01"/>
      </w:pPr>
      <w:r>
        <w:t xml:space="preserve">Unable to Load Profile .......................................................................................................79 </w:t>
      </w:r>
    </w:p>
    <w:p>
      <w:pPr>
        <w:pStyle w:val="Para 25"/>
      </w:pPr>
      <w:r>
        <w:t/>
      </w:r>
    </w:p>
    <w:p>
      <w:pPr>
        <w:pStyle w:val="Para 01"/>
      </w:pPr>
      <w:r>
        <w:t xml:space="preserve">Troubleshooting Profile Problems with UserEnv.log........................................................80 </w:t>
      </w:r>
    </w:p>
    <w:p>
      <w:pPr>
        <w:pStyle w:val="Para 25"/>
      </w:pPr>
      <w:r>
        <w:t/>
      </w:r>
    </w:p>
    <w:p>
      <w:pPr>
        <w:pStyle w:val="Para 01"/>
      </w:pPr>
      <w:r>
        <w:t xml:space="preserve">Using Profiles with Multiple Versions of Windows..........................................................81 </w:t>
      </w:r>
    </w:p>
    <w:p>
      <w:pPr>
        <w:pStyle w:val="Para 25"/>
      </w:pPr>
      <w:r>
        <w:t/>
      </w:r>
    </w:p>
    <w:p>
      <w:pPr>
        <w:pStyle w:val="Para 08"/>
      </w:pPr>
      <w:r>
        <w:t xml:space="preserve">Hard-Coded Profile Paths ......................................................................................81 </w:t>
      </w:r>
    </w:p>
    <w:p>
      <w:pPr>
        <w:pStyle w:val="Para 25"/>
      </w:pPr>
      <w:r>
        <w:t/>
      </w:r>
    </w:p>
    <w:p>
      <w:pPr>
        <w:pStyle w:val="Para 08"/>
      </w:pPr>
      <w:r>
        <w:t xml:space="preserve">System and Group Policy Assignments .................................................................81 </w:t>
      </w:r>
    </w:p>
    <w:p>
      <w:pPr>
        <w:pStyle w:val="Para 25"/>
      </w:pPr>
      <w:r>
        <w:t/>
      </w:r>
    </w:p>
    <w:p>
      <w:pPr>
        <w:pStyle w:val="Normal"/>
      </w:pPr>
      <w:r>
        <w:t xml:space="preserve">Summary ........................................................................................................................................82 </w:t>
      </w:r>
    </w:p>
    <w:p>
      <w:pPr>
        <w:pStyle w:val="Para 25"/>
      </w:pPr>
      <w:r>
        <w:t/>
      </w:r>
    </w:p>
    <w:p>
      <w:pPr>
        <w:pStyle w:val="Normal"/>
      </w:pPr>
      <w:r>
        <w:t xml:space="preserve">Chapter 4: Application Management .............................................................................................83 </w:t>
      </w:r>
    </w:p>
    <w:p>
      <w:pPr>
        <w:pStyle w:val="Para 25"/>
      </w:pPr>
      <w:r>
        <w:t/>
      </w:r>
    </w:p>
    <w:p>
      <w:pPr>
        <w:pStyle w:val="Normal"/>
      </w:pPr>
      <w:r>
        <w:t xml:space="preserve">The Software Deployment Process................................................................................................83 </w:t>
      </w:r>
    </w:p>
    <w:p>
      <w:pPr>
        <w:pStyle w:val="Para 25"/>
      </w:pPr>
      <w:r>
        <w:t/>
      </w:r>
    </w:p>
    <w:p>
      <w:pPr>
        <w:pStyle w:val="Para 01"/>
      </w:pPr>
      <w:r>
        <w:t xml:space="preserve">Receipt ...............................................................................................................................84 </w:t>
      </w:r>
    </w:p>
    <w:p>
      <w:pPr>
        <w:pStyle w:val="Para 25"/>
      </w:pPr>
      <w:r>
        <w:t/>
      </w:r>
    </w:p>
    <w:p>
      <w:pPr>
        <w:pStyle w:val="Para 08"/>
      </w:pPr>
      <w:r>
        <w:t xml:space="preserve">Deploying the Latest Version ................................................................................84 </w:t>
      </w:r>
    </w:p>
    <w:p>
      <w:pPr>
        <w:pStyle w:val="Para 25"/>
      </w:pPr>
      <w:r>
        <w:t/>
      </w:r>
    </w:p>
    <w:p>
      <w:pPr>
        <w:pStyle w:val="Para 08"/>
      </w:pPr>
      <w:r>
        <w:t xml:space="preserve">Existing Older Versions .........................................................................................84 </w:t>
      </w:r>
    </w:p>
    <w:p>
      <w:pPr>
        <w:pStyle w:val="Para 25"/>
      </w:pPr>
      <w:r>
        <w:t/>
      </w:r>
    </w:p>
    <w:p>
      <w:pPr>
        <w:pStyle w:val="Para 08"/>
      </w:pPr>
      <w:r>
        <w:t xml:space="preserve">Media Tracking......................................................................................................85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0" name="index-6_1.png" descr="index-6_1.png"/>
            <wp:cNvGraphicFramePr>
              <a:graphicFrameLocks noChangeAspect="1"/>
            </wp:cNvGraphicFramePr>
            <a:graphic>
              <a:graphicData uri="http://schemas.openxmlformats.org/drawingml/2006/picture">
                <pic:pic>
                  <pic:nvPicPr>
                    <pic:cNvPr id="0" name="index-6_1.png" descr="index-6_1.png"/>
                    <pic:cNvPicPr/>
                  </pic:nvPicPr>
                  <pic:blipFill>
                    <a:blip r:embed="rId1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1" name="index-6_2.png" descr="index-6_2.png"/>
            <wp:cNvGraphicFramePr>
              <a:graphicFrameLocks noChangeAspect="1"/>
            </wp:cNvGraphicFramePr>
            <a:graphic>
              <a:graphicData uri="http://schemas.openxmlformats.org/drawingml/2006/picture">
                <pic:pic>
                  <pic:nvPicPr>
                    <pic:cNvPr id="0" name="index-6_2.png" descr="index-6_2.png"/>
                    <pic:cNvPicPr/>
                  </pic:nvPicPr>
                  <pic:blipFill>
                    <a:blip r:embed="rId15"/>
                    <a:stretch>
                      <a:fillRect/>
                    </a:stretch>
                  </pic:blipFill>
                  <pic:spPr>
                    <a:xfrm>
                      <a:off x="0" y="0"/>
                      <a:ext cx="914400" cy="444500"/>
                    </a:xfrm>
                    <a:prstGeom prst="rect">
                      <a:avLst/>
                    </a:prstGeom>
                  </pic:spPr>
                </pic:pic>
              </a:graphicData>
            </a:graphic>
          </wp:anchor>
        </w:drawing>
      </w:r>
    </w:p>
    <w:p>
      <w:bookmarkStart w:id="7" w:name="Table_of_Contents_4"/>
      <w:pPr>
        <w:pStyle w:val="Heading 1"/>
      </w:pPr>
      <w:r>
        <w:t>Table of Contents</w:t>
      </w:r>
      <w:bookmarkEnd w:id="7"/>
    </w:p>
    <w:p>
      <w:pPr>
        <w:pStyle w:val="Para 25"/>
      </w:pPr>
      <w:r>
        <w:t/>
      </w:r>
    </w:p>
    <w:p>
      <w:pPr>
        <w:pStyle w:val="Para 01"/>
      </w:pPr>
      <w:r>
        <w:t xml:space="preserve">Integration Testing .............................................................................................................87 </w:t>
      </w:r>
    </w:p>
    <w:p>
      <w:pPr>
        <w:pStyle w:val="Para 25"/>
      </w:pPr>
      <w:r>
        <w:t/>
      </w:r>
    </w:p>
    <w:p>
      <w:pPr>
        <w:pStyle w:val="Para 08"/>
      </w:pPr>
      <w:r>
        <w:t xml:space="preserve">Installation and Usage Documentation ..................................................................87 </w:t>
      </w:r>
    </w:p>
    <w:p>
      <w:pPr>
        <w:pStyle w:val="Para 25"/>
      </w:pPr>
      <w:r>
        <w:t/>
      </w:r>
    </w:p>
    <w:p>
      <w:pPr>
        <w:pStyle w:val="Para 08"/>
      </w:pPr>
      <w:r>
        <w:t xml:space="preserve">Application Interaction Considerations .................................................................88 </w:t>
      </w:r>
    </w:p>
    <w:p>
      <w:pPr>
        <w:pStyle w:val="Para 25"/>
      </w:pPr>
      <w:r>
        <w:t/>
      </w:r>
    </w:p>
    <w:p>
      <w:pPr>
        <w:pStyle w:val="Para 01"/>
      </w:pPr>
      <w:r>
        <w:t xml:space="preserve">Package Research...............................................................................................................88 </w:t>
      </w:r>
    </w:p>
    <w:p>
      <w:pPr>
        <w:pStyle w:val="Para 25"/>
      </w:pPr>
      <w:r>
        <w:t/>
      </w:r>
    </w:p>
    <w:p>
      <w:pPr>
        <w:pStyle w:val="Para 08"/>
      </w:pPr>
      <w:r>
        <w:t xml:space="preserve">MSI ........................................................................................................................89 </w:t>
      </w:r>
    </w:p>
    <w:p>
      <w:pPr>
        <w:pStyle w:val="Para 25"/>
      </w:pPr>
      <w:r>
        <w:t/>
      </w:r>
    </w:p>
    <w:p>
      <w:pPr>
        <w:pStyle w:val="Para 08"/>
      </w:pPr>
      <w:r>
        <w:t xml:space="preserve">Command-Line Installations..................................................................................92 </w:t>
      </w:r>
    </w:p>
    <w:p>
      <w:pPr>
        <w:pStyle w:val="Para 25"/>
      </w:pPr>
      <w:r>
        <w:t/>
      </w:r>
    </w:p>
    <w:p>
      <w:pPr>
        <w:pStyle w:val="Para 08"/>
      </w:pPr>
      <w:r>
        <w:t xml:space="preserve">Answer File............................................................................................................93 </w:t>
      </w:r>
    </w:p>
    <w:p>
      <w:pPr>
        <w:pStyle w:val="Para 25"/>
      </w:pPr>
      <w:r>
        <w:t/>
      </w:r>
    </w:p>
    <w:p>
      <w:pPr>
        <w:pStyle w:val="Para 08"/>
      </w:pPr>
      <w:r>
        <w:t xml:space="preserve">Repackaging...........................................................................................................97 </w:t>
      </w:r>
    </w:p>
    <w:p>
      <w:pPr>
        <w:pStyle w:val="Para 25"/>
      </w:pPr>
      <w:r>
        <w:t/>
      </w:r>
    </w:p>
    <w:p>
      <w:pPr>
        <w:pStyle w:val="Para 01"/>
      </w:pPr>
      <w:r>
        <w:t xml:space="preserve">Package Development........................................................................................................98 </w:t>
      </w:r>
    </w:p>
    <w:p>
      <w:pPr>
        <w:pStyle w:val="Para 25"/>
      </w:pPr>
      <w:r>
        <w:t/>
      </w:r>
    </w:p>
    <w:p>
      <w:pPr>
        <w:pStyle w:val="Para 08"/>
      </w:pPr>
      <w:r>
        <w:t xml:space="preserve">OnDemand Software’s WinINSTALL ..................................................................98 </w:t>
      </w:r>
    </w:p>
    <w:p>
      <w:pPr>
        <w:pStyle w:val="Para 25"/>
      </w:pPr>
      <w:r>
        <w:t/>
      </w:r>
    </w:p>
    <w:p>
      <w:pPr>
        <w:pStyle w:val="Para 08"/>
      </w:pPr>
      <w:r>
        <w:t xml:space="preserve">Wise Package Studio..............................................................................................99 </w:t>
      </w:r>
    </w:p>
    <w:p>
      <w:pPr>
        <w:pStyle w:val="Para 25"/>
      </w:pPr>
      <w:r>
        <w:t/>
      </w:r>
    </w:p>
    <w:p>
      <w:pPr>
        <w:pStyle w:val="Para 08"/>
      </w:pPr>
      <w:r>
        <w:t xml:space="preserve">InstallShield AdminStudio ...................................................................................100 </w:t>
      </w:r>
    </w:p>
    <w:p>
      <w:pPr>
        <w:pStyle w:val="Para 25"/>
      </w:pPr>
      <w:r>
        <w:t/>
      </w:r>
    </w:p>
    <w:p>
      <w:pPr>
        <w:pStyle w:val="Para 08"/>
      </w:pPr>
      <w:r>
        <w:t xml:space="preserve">New Boundary Technologies’ Prism Pack ..........................................................101 </w:t>
      </w:r>
    </w:p>
    <w:p>
      <w:pPr>
        <w:pStyle w:val="Para 25"/>
      </w:pPr>
      <w:r>
        <w:t/>
      </w:r>
    </w:p>
    <w:p>
      <w:pPr>
        <w:pStyle w:val="Para 01"/>
      </w:pPr>
      <w:r>
        <w:t xml:space="preserve">Package Testing ...............................................................................................................102 </w:t>
      </w:r>
    </w:p>
    <w:p>
      <w:pPr>
        <w:pStyle w:val="Para 25"/>
      </w:pPr>
      <w:r>
        <w:t/>
      </w:r>
    </w:p>
    <w:p>
      <w:pPr>
        <w:pStyle w:val="Para 08"/>
      </w:pPr>
      <w:r>
        <w:t xml:space="preserve">Package Quality Assurance..................................................................................102 </w:t>
      </w:r>
    </w:p>
    <w:p>
      <w:pPr>
        <w:pStyle w:val="Para 25"/>
      </w:pPr>
      <w:r>
        <w:t/>
      </w:r>
    </w:p>
    <w:p>
      <w:pPr>
        <w:pStyle w:val="Para 01"/>
      </w:pPr>
      <w:r>
        <w:t xml:space="preserve">Deployment Testing.........................................................................................................102 </w:t>
      </w:r>
    </w:p>
    <w:p>
      <w:pPr>
        <w:pStyle w:val="Para 25"/>
      </w:pPr>
      <w:r>
        <w:t/>
      </w:r>
    </w:p>
    <w:p>
      <w:pPr>
        <w:pStyle w:val="Para 01"/>
      </w:pPr>
      <w:r>
        <w:t xml:space="preserve">Pilot Deployment .............................................................................................................103 </w:t>
      </w:r>
    </w:p>
    <w:p>
      <w:pPr>
        <w:pStyle w:val="Para 25"/>
      </w:pPr>
      <w:r>
        <w:t/>
      </w:r>
    </w:p>
    <w:p>
      <w:pPr>
        <w:pStyle w:val="Para 08"/>
      </w:pPr>
      <w:r>
        <w:t xml:space="preserve">Volunteers Anyone?.............................................................................................103 </w:t>
      </w:r>
    </w:p>
    <w:p>
      <w:pPr>
        <w:pStyle w:val="Para 25"/>
      </w:pPr>
      <w:r>
        <w:t/>
      </w:r>
    </w:p>
    <w:p>
      <w:pPr>
        <w:pStyle w:val="Para 08"/>
      </w:pPr>
      <w:r>
        <w:t xml:space="preserve">User Notification..................................................................................................104 </w:t>
      </w:r>
    </w:p>
    <w:p>
      <w:pPr>
        <w:pStyle w:val="Para 25"/>
      </w:pPr>
      <w:r>
        <w:t/>
      </w:r>
    </w:p>
    <w:p>
      <w:pPr>
        <w:pStyle w:val="Para 08"/>
      </w:pPr>
      <w:r>
        <w:t xml:space="preserve">Track Successes and Failures...............................................................................104 </w:t>
      </w:r>
    </w:p>
    <w:p>
      <w:pPr>
        <w:pStyle w:val="Para 25"/>
      </w:pPr>
      <w:r>
        <w:t/>
      </w:r>
    </w:p>
    <w:p>
      <w:pPr>
        <w:pStyle w:val="Para 01"/>
      </w:pPr>
      <w:r>
        <w:t xml:space="preserve">Baseline Updates..............................................................................................................105 </w:t>
      </w:r>
    </w:p>
    <w:p>
      <w:pPr>
        <w:pStyle w:val="Para 25"/>
      </w:pPr>
      <w:r>
        <w:t/>
      </w:r>
    </w:p>
    <w:p>
      <w:pPr>
        <w:pStyle w:val="Para 08"/>
      </w:pPr>
      <w:r>
        <w:t xml:space="preserve">Image Updates .....................................................................................................105 </w:t>
      </w:r>
    </w:p>
    <w:p>
      <w:pPr>
        <w:pStyle w:val="Para 25"/>
      </w:pPr>
      <w:r>
        <w:t/>
      </w:r>
    </w:p>
    <w:p>
      <w:pPr>
        <w:pStyle w:val="Para 08"/>
      </w:pPr>
      <w:r>
        <w:t xml:space="preserve">Unattended Installation Script Updates ...............................................................105 </w:t>
      </w:r>
    </w:p>
    <w:p>
      <w:pPr>
        <w:pStyle w:val="Para 25"/>
      </w:pPr>
      <w:r>
        <w:t/>
      </w:r>
    </w:p>
    <w:p>
      <w:pPr>
        <w:pStyle w:val="Para 08"/>
      </w:pPr>
      <w:r>
        <w:t xml:space="preserve">Package Availability ............................................................................................105 </w:t>
      </w:r>
    </w:p>
    <w:p>
      <w:pPr>
        <w:pStyle w:val="Para 25"/>
      </w:pPr>
      <w:r>
        <w:t/>
      </w:r>
    </w:p>
    <w:p>
      <w:pPr>
        <w:pStyle w:val="Normal"/>
      </w:pPr>
      <w:r>
        <w:t xml:space="preserve">Package Deployment System.......................................................................................................106 </w:t>
      </w:r>
    </w:p>
    <w:p>
      <w:pPr>
        <w:pStyle w:val="Para 25"/>
      </w:pPr>
      <w:r>
        <w:t/>
      </w:r>
    </w:p>
    <w:p>
      <w:pPr>
        <w:pStyle w:val="Para 01"/>
      </w:pPr>
      <w:r>
        <w:t xml:space="preserve">Software Distribution Vendors ........................................................................................106 </w:t>
      </w:r>
    </w:p>
    <w:p>
      <w:pPr>
        <w:pStyle w:val="Para 25"/>
      </w:pPr>
      <w:r>
        <w:t/>
      </w:r>
    </w:p>
    <w:p>
      <w:pPr>
        <w:pStyle w:val="Normal"/>
      </w:pPr>
      <w:r>
        <w:t xml:space="preserve">Summary ......................................................................................................................................111 </w:t>
      </w:r>
    </w:p>
    <w:p>
      <w:pPr>
        <w:pStyle w:val="Para 25"/>
      </w:pPr>
      <w:r>
        <w:t/>
      </w:r>
    </w:p>
    <w:p>
      <w:pPr>
        <w:pStyle w:val="Normal"/>
      </w:pPr>
      <w:r>
        <w:t xml:space="preserve">Chapter 5: Desktop Security ........................................................................................................112 </w:t>
      </w:r>
    </w:p>
    <w:p>
      <w:pPr>
        <w:pStyle w:val="Para 25"/>
      </w:pPr>
      <w:r>
        <w:t/>
      </w:r>
    </w:p>
    <w:p>
      <w:pPr>
        <w:pStyle w:val="Normal"/>
      </w:pPr>
      <w:r>
        <w:t xml:space="preserve">Written Security Policy................................................................................................................112 </w:t>
      </w:r>
    </w:p>
    <w:p>
      <w:pPr>
        <w:pStyle w:val="Para 25"/>
      </w:pPr>
      <w:r>
        <w:t/>
      </w:r>
    </w:p>
    <w:p>
      <w:pPr>
        <w:pStyle w:val="Para 01"/>
      </w:pPr>
      <w:r>
        <w:t xml:space="preserve">Defining Your Security Policy.........................................................................................112 </w:t>
      </w:r>
    </w:p>
    <w:p>
      <w:pPr>
        <w:pStyle w:val="Para 25"/>
      </w:pPr>
      <w:r>
        <w:t/>
      </w:r>
    </w:p>
    <w:p>
      <w:pPr>
        <w:pStyle w:val="Para 01"/>
      </w:pPr>
      <w:r>
        <w:t xml:space="preserve">Enforcing Your Security Policy.......................................................................................113 </w:t>
      </w:r>
    </w:p>
    <w:p>
      <w:pPr>
        <w:pStyle w:val="Para 25"/>
      </w:pPr>
      <w:r>
        <w:t/>
      </w:r>
    </w:p>
    <w:p>
      <w:pPr>
        <w:pStyle w:val="Normal"/>
      </w:pPr>
      <w:r>
        <w:t xml:space="preserve">Benefits of a Locked Down Environment ...................................................................................114 </w:t>
      </w:r>
    </w:p>
    <w:p>
      <w:pPr>
        <w:pStyle w:val="Para 25"/>
      </w:pPr>
      <w:r>
        <w:t/>
      </w:r>
    </w:p>
    <w:p>
      <w:pPr>
        <w:pStyle w:val="Para 01"/>
      </w:pPr>
      <w:r>
        <w:t xml:space="preserve">Provide Desktop Damage Control ...................................................................................114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2" name="index-7_1.png" descr="index-7_1.png"/>
            <wp:cNvGraphicFramePr>
              <a:graphicFrameLocks noChangeAspect="1"/>
            </wp:cNvGraphicFramePr>
            <a:graphic>
              <a:graphicData uri="http://schemas.openxmlformats.org/drawingml/2006/picture">
                <pic:pic>
                  <pic:nvPicPr>
                    <pic:cNvPr id="0" name="index-7_1.png" descr="index-7_1.png"/>
                    <pic:cNvPicPr/>
                  </pic:nvPicPr>
                  <pic:blipFill>
                    <a:blip r:embed="rId1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3" name="index-7_2.png" descr="index-7_2.png"/>
            <wp:cNvGraphicFramePr>
              <a:graphicFrameLocks noChangeAspect="1"/>
            </wp:cNvGraphicFramePr>
            <a:graphic>
              <a:graphicData uri="http://schemas.openxmlformats.org/drawingml/2006/picture">
                <pic:pic>
                  <pic:nvPicPr>
                    <pic:cNvPr id="0" name="index-7_2.png" descr="index-7_2.png"/>
                    <pic:cNvPicPr/>
                  </pic:nvPicPr>
                  <pic:blipFill>
                    <a:blip r:embed="rId17"/>
                    <a:stretch>
                      <a:fillRect/>
                    </a:stretch>
                  </pic:blipFill>
                  <pic:spPr>
                    <a:xfrm>
                      <a:off x="0" y="0"/>
                      <a:ext cx="914400" cy="444500"/>
                    </a:xfrm>
                    <a:prstGeom prst="rect">
                      <a:avLst/>
                    </a:prstGeom>
                  </pic:spPr>
                </pic:pic>
              </a:graphicData>
            </a:graphic>
          </wp:anchor>
        </w:drawing>
      </w:r>
    </w:p>
    <w:p>
      <w:bookmarkStart w:id="8" w:name="Table_of_Contents_5"/>
      <w:pPr>
        <w:pStyle w:val="Heading 1"/>
      </w:pPr>
      <w:r>
        <w:t>Table of Contents</w:t>
      </w:r>
      <w:bookmarkEnd w:id="8"/>
    </w:p>
    <w:p>
      <w:pPr>
        <w:pStyle w:val="Para 25"/>
      </w:pPr>
      <w:r>
        <w:t/>
      </w:r>
    </w:p>
    <w:p>
      <w:pPr>
        <w:pStyle w:val="Para 01"/>
      </w:pPr>
      <w:r>
        <w:t xml:space="preserve">Prevent Installation of Personal Software........................................................................115 </w:t>
      </w:r>
    </w:p>
    <w:p>
      <w:pPr>
        <w:pStyle w:val="Para 25"/>
      </w:pPr>
      <w:r>
        <w:t/>
      </w:r>
    </w:p>
    <w:p>
      <w:pPr>
        <w:pStyle w:val="Para 01"/>
      </w:pPr>
      <w:r>
        <w:t xml:space="preserve">Eliminate Unauthorized Installation of Company Software ............................................115 </w:t>
      </w:r>
    </w:p>
    <w:p>
      <w:pPr>
        <w:pStyle w:val="Para 25"/>
      </w:pPr>
      <w:r>
        <w:t/>
      </w:r>
    </w:p>
    <w:p>
      <w:pPr>
        <w:pStyle w:val="Para 01"/>
      </w:pPr>
      <w:r>
        <w:t xml:space="preserve">Stop Software Theft .........................................................................................................115 </w:t>
      </w:r>
    </w:p>
    <w:p>
      <w:pPr>
        <w:pStyle w:val="Para 25"/>
      </w:pPr>
      <w:r>
        <w:t/>
      </w:r>
    </w:p>
    <w:p>
      <w:pPr>
        <w:pStyle w:val="Para 01"/>
      </w:pPr>
      <w:r>
        <w:t xml:space="preserve">Enforce Proper Usage ......................................................................................................116 </w:t>
      </w:r>
    </w:p>
    <w:p>
      <w:pPr>
        <w:pStyle w:val="Para 25"/>
      </w:pPr>
      <w:r>
        <w:t/>
      </w:r>
    </w:p>
    <w:p>
      <w:pPr>
        <w:pStyle w:val="Para 08"/>
      </w:pPr>
      <w:r>
        <w:t xml:space="preserve">Playing Games “On the Clock” ...........................................................................116 </w:t>
      </w:r>
    </w:p>
    <w:p>
      <w:pPr>
        <w:pStyle w:val="Para 25"/>
      </w:pPr>
      <w:r>
        <w:t/>
      </w:r>
    </w:p>
    <w:p>
      <w:pPr>
        <w:pStyle w:val="Para 08"/>
      </w:pPr>
      <w:r>
        <w:t xml:space="preserve">Conducting Personal Business .............................................................................116 </w:t>
      </w:r>
    </w:p>
    <w:p>
      <w:pPr>
        <w:pStyle w:val="Para 25"/>
      </w:pPr>
      <w:r>
        <w:t/>
      </w:r>
    </w:p>
    <w:p>
      <w:pPr>
        <w:pStyle w:val="Para 08"/>
      </w:pPr>
      <w:r>
        <w:t xml:space="preserve">Conducting Illegal Activities ...............................................................................116 </w:t>
      </w:r>
    </w:p>
    <w:p>
      <w:pPr>
        <w:pStyle w:val="Para 25"/>
      </w:pPr>
      <w:r>
        <w:t/>
      </w:r>
    </w:p>
    <w:p>
      <w:pPr>
        <w:pStyle w:val="Para 01"/>
      </w:pPr>
      <w:r>
        <w:t xml:space="preserve">Decrease Proliferation of Viruses ....................................................................................116 </w:t>
      </w:r>
    </w:p>
    <w:p>
      <w:pPr>
        <w:pStyle w:val="Para 25"/>
      </w:pPr>
      <w:r>
        <w:t/>
      </w:r>
    </w:p>
    <w:p>
      <w:pPr>
        <w:pStyle w:val="Para 08"/>
      </w:pPr>
      <w:r>
        <w:t xml:space="preserve">Principal of Least Privilege..................................................................................117 </w:t>
      </w:r>
    </w:p>
    <w:p>
      <w:pPr>
        <w:pStyle w:val="Para 25"/>
      </w:pPr>
      <w:r>
        <w:t/>
      </w:r>
    </w:p>
    <w:p>
      <w:pPr>
        <w:pStyle w:val="Para 01"/>
      </w:pPr>
      <w:r>
        <w:t xml:space="preserve">Protect Data......................................................................................................................117 </w:t>
      </w:r>
    </w:p>
    <w:p>
      <w:pPr>
        <w:pStyle w:val="Para 25"/>
      </w:pPr>
      <w:r>
        <w:t/>
      </w:r>
    </w:p>
    <w:p>
      <w:pPr>
        <w:pStyle w:val="Normal"/>
      </w:pPr>
      <w:r>
        <w:t xml:space="preserve">Drawbacks of a Locked Down Environment...............................................................................117 </w:t>
      </w:r>
    </w:p>
    <w:p>
      <w:pPr>
        <w:pStyle w:val="Para 25"/>
      </w:pPr>
      <w:r>
        <w:t/>
      </w:r>
    </w:p>
    <w:p>
      <w:pPr>
        <w:pStyle w:val="Para 01"/>
      </w:pPr>
      <w:r>
        <w:t xml:space="preserve">Application Failures.........................................................................................................117 </w:t>
      </w:r>
    </w:p>
    <w:p>
      <w:pPr>
        <w:pStyle w:val="Para 25"/>
      </w:pPr>
      <w:r>
        <w:t/>
      </w:r>
    </w:p>
    <w:p>
      <w:pPr>
        <w:pStyle w:val="Para 01"/>
      </w:pPr>
      <w:r>
        <w:t xml:space="preserve">Failure to Save Settings ...................................................................................................118 </w:t>
      </w:r>
    </w:p>
    <w:p>
      <w:pPr>
        <w:pStyle w:val="Para 25"/>
      </w:pPr>
      <w:r>
        <w:t/>
      </w:r>
    </w:p>
    <w:p>
      <w:pPr>
        <w:pStyle w:val="Para 01"/>
      </w:pPr>
      <w:r>
        <w:t xml:space="preserve">Failures When Saving Data .............................................................................................118 </w:t>
      </w:r>
    </w:p>
    <w:p>
      <w:pPr>
        <w:pStyle w:val="Para 25"/>
      </w:pPr>
      <w:r>
        <w:t/>
      </w:r>
    </w:p>
    <w:p>
      <w:pPr>
        <w:pStyle w:val="Para 01"/>
      </w:pPr>
      <w:r>
        <w:t xml:space="preserve">First Launch .....................................................................................................................118 </w:t>
      </w:r>
    </w:p>
    <w:p>
      <w:pPr>
        <w:pStyle w:val="Para 25"/>
      </w:pPr>
      <w:r>
        <w:t/>
      </w:r>
    </w:p>
    <w:p>
      <w:pPr>
        <w:pStyle w:val="Para 01"/>
      </w:pPr>
      <w:r>
        <w:t xml:space="preserve">Complex Deployments.....................................................................................................119 </w:t>
      </w:r>
    </w:p>
    <w:p>
      <w:pPr>
        <w:pStyle w:val="Para 25"/>
      </w:pPr>
      <w:r>
        <w:t/>
      </w:r>
    </w:p>
    <w:p>
      <w:pPr>
        <w:pStyle w:val="Para 01"/>
      </w:pPr>
      <w:r>
        <w:t xml:space="preserve">Political Considerations ...................................................................................................119 </w:t>
      </w:r>
    </w:p>
    <w:p>
      <w:pPr>
        <w:pStyle w:val="Para 25"/>
      </w:pPr>
      <w:r>
        <w:t/>
      </w:r>
    </w:p>
    <w:p>
      <w:pPr>
        <w:pStyle w:val="Normal"/>
      </w:pPr>
      <w:r>
        <w:t xml:space="preserve">Modifying File and Registry Access and User Rights .................................................................119 </w:t>
      </w:r>
    </w:p>
    <w:p>
      <w:pPr>
        <w:pStyle w:val="Para 25"/>
      </w:pPr>
      <w:r>
        <w:t/>
      </w:r>
    </w:p>
    <w:p>
      <w:pPr>
        <w:pStyle w:val="Para 01"/>
      </w:pPr>
      <w:r>
        <w:t xml:space="preserve">Registry Security..............................................................................................................120 </w:t>
      </w:r>
    </w:p>
    <w:p>
      <w:pPr>
        <w:pStyle w:val="Para 25"/>
      </w:pPr>
      <w:r>
        <w:t/>
      </w:r>
    </w:p>
    <w:p>
      <w:pPr>
        <w:pStyle w:val="Para 08"/>
      </w:pPr>
      <w:r>
        <w:t xml:space="preserve">Group Policy ........................................................................................................120 </w:t>
      </w:r>
    </w:p>
    <w:p>
      <w:pPr>
        <w:pStyle w:val="Para 25"/>
      </w:pPr>
      <w:r>
        <w:t/>
      </w:r>
    </w:p>
    <w:p>
      <w:pPr>
        <w:pStyle w:val="Para 08"/>
      </w:pPr>
      <w:r>
        <w:t xml:space="preserve">RegINI..................................................................................................................122 </w:t>
      </w:r>
    </w:p>
    <w:p>
      <w:pPr>
        <w:pStyle w:val="Para 25"/>
      </w:pPr>
      <w:r>
        <w:t/>
      </w:r>
    </w:p>
    <w:p>
      <w:pPr>
        <w:pStyle w:val="Para 08"/>
      </w:pPr>
      <w:r>
        <w:t xml:space="preserve">RegDmp ...............................................................................................................123 </w:t>
      </w:r>
    </w:p>
    <w:p>
      <w:pPr>
        <w:pStyle w:val="Para 25"/>
      </w:pPr>
      <w:r>
        <w:t/>
      </w:r>
    </w:p>
    <w:p>
      <w:pPr>
        <w:pStyle w:val="Para 08"/>
      </w:pPr>
      <w:r>
        <w:t xml:space="preserve">SecAdd .................................................................................................................123 </w:t>
      </w:r>
    </w:p>
    <w:p>
      <w:pPr>
        <w:pStyle w:val="Para 25"/>
      </w:pPr>
      <w:r>
        <w:t/>
      </w:r>
    </w:p>
    <w:p>
      <w:pPr>
        <w:pStyle w:val="Para 01"/>
      </w:pPr>
      <w:r>
        <w:t xml:space="preserve">File Security .....................................................................................................................123 </w:t>
      </w:r>
    </w:p>
    <w:p>
      <w:pPr>
        <w:pStyle w:val="Para 25"/>
      </w:pPr>
      <w:r>
        <w:t/>
      </w:r>
    </w:p>
    <w:p>
      <w:pPr>
        <w:pStyle w:val="Para 08"/>
      </w:pPr>
      <w:r>
        <w:t xml:space="preserve">Group Policy ........................................................................................................123 </w:t>
      </w:r>
    </w:p>
    <w:p>
      <w:pPr>
        <w:pStyle w:val="Para 25"/>
      </w:pPr>
      <w:r>
        <w:t/>
      </w:r>
    </w:p>
    <w:p>
      <w:pPr>
        <w:pStyle w:val="Para 08"/>
      </w:pPr>
      <w:r>
        <w:t xml:space="preserve">CACLS.................................................................................................................124 </w:t>
      </w:r>
    </w:p>
    <w:p>
      <w:pPr>
        <w:pStyle w:val="Para 25"/>
      </w:pPr>
      <w:r>
        <w:t/>
      </w:r>
    </w:p>
    <w:p>
      <w:pPr>
        <w:pStyle w:val="Para 08"/>
      </w:pPr>
      <w:r>
        <w:t xml:space="preserve">XCACLS..............................................................................................................124 </w:t>
      </w:r>
    </w:p>
    <w:p>
      <w:pPr>
        <w:pStyle w:val="Para 25"/>
      </w:pPr>
      <w:r>
        <w:t/>
      </w:r>
    </w:p>
    <w:p>
      <w:pPr>
        <w:pStyle w:val="Para 01"/>
      </w:pPr>
      <w:r>
        <w:t xml:space="preserve">User Rights.......................................................................................................................125 </w:t>
      </w:r>
    </w:p>
    <w:p>
      <w:pPr>
        <w:pStyle w:val="Para 25"/>
      </w:pPr>
      <w:r>
        <w:t/>
      </w:r>
    </w:p>
    <w:p>
      <w:pPr>
        <w:pStyle w:val="Para 08"/>
      </w:pPr>
      <w:r>
        <w:t xml:space="preserve">Group Policy ........................................................................................................125 </w:t>
      </w:r>
    </w:p>
    <w:p>
      <w:pPr>
        <w:pStyle w:val="Para 25"/>
      </w:pPr>
      <w:r>
        <w:t/>
      </w:r>
    </w:p>
    <w:p>
      <w:pPr>
        <w:pStyle w:val="Para 08"/>
      </w:pPr>
      <w:r>
        <w:t xml:space="preserve">NT User Manager ................................................................................................125 </w:t>
      </w:r>
    </w:p>
    <w:p>
      <w:pPr>
        <w:pStyle w:val="Para 25"/>
      </w:pPr>
      <w:r>
        <w:t/>
      </w:r>
    </w:p>
    <w:p>
      <w:pPr>
        <w:pStyle w:val="Para 08"/>
      </w:pPr>
      <w:r>
        <w:t xml:space="preserve">NTRights..............................................................................................................126 </w:t>
      </w:r>
    </w:p>
    <w:p>
      <w:pPr>
        <w:pStyle w:val="Para 25"/>
      </w:pPr>
      <w:r>
        <w:t/>
      </w:r>
    </w:p>
    <w:p>
      <w:pPr>
        <w:pStyle w:val="Para 01"/>
      </w:pPr>
      <w:r>
        <w:t xml:space="preserve">Changing Security Context ..............................................................................................127 </w:t>
      </w:r>
    </w:p>
    <w:p>
      <w:pPr>
        <w:pStyle w:val="Para 25"/>
      </w:pPr>
      <w:r>
        <w:t/>
      </w:r>
    </w:p>
    <w:p>
      <w:pPr>
        <w:pStyle w:val="Para 08"/>
      </w:pPr>
      <w:r>
        <w:t xml:space="preserve">The Switch User Utility (SU.EXE)......................................................................127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4" name="index-8_1.png" descr="index-8_1.png"/>
            <wp:cNvGraphicFramePr>
              <a:graphicFrameLocks noChangeAspect="1"/>
            </wp:cNvGraphicFramePr>
            <a:graphic>
              <a:graphicData uri="http://schemas.openxmlformats.org/drawingml/2006/picture">
                <pic:pic>
                  <pic:nvPicPr>
                    <pic:cNvPr id="0" name="index-8_1.png" descr="index-8_1.png"/>
                    <pic:cNvPicPr/>
                  </pic:nvPicPr>
                  <pic:blipFill>
                    <a:blip r:embed="rId1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5" name="index-8_2.png" descr="index-8_2.png"/>
            <wp:cNvGraphicFramePr>
              <a:graphicFrameLocks noChangeAspect="1"/>
            </wp:cNvGraphicFramePr>
            <a:graphic>
              <a:graphicData uri="http://schemas.openxmlformats.org/drawingml/2006/picture">
                <pic:pic>
                  <pic:nvPicPr>
                    <pic:cNvPr id="0" name="index-8_2.png" descr="index-8_2.png"/>
                    <pic:cNvPicPr/>
                  </pic:nvPicPr>
                  <pic:blipFill>
                    <a:blip r:embed="rId19"/>
                    <a:stretch>
                      <a:fillRect/>
                    </a:stretch>
                  </pic:blipFill>
                  <pic:spPr>
                    <a:xfrm>
                      <a:off x="0" y="0"/>
                      <a:ext cx="914400" cy="444500"/>
                    </a:xfrm>
                    <a:prstGeom prst="rect">
                      <a:avLst/>
                    </a:prstGeom>
                  </pic:spPr>
                </pic:pic>
              </a:graphicData>
            </a:graphic>
          </wp:anchor>
        </w:drawing>
      </w:r>
    </w:p>
    <w:p>
      <w:bookmarkStart w:id="9" w:name="Table_of_Contents_6"/>
      <w:pPr>
        <w:pStyle w:val="Heading 1"/>
      </w:pPr>
      <w:r>
        <w:t>Table of Contents</w:t>
      </w:r>
      <w:bookmarkEnd w:id="9"/>
    </w:p>
    <w:p>
      <w:pPr>
        <w:pStyle w:val="Para 25"/>
      </w:pPr>
      <w:r>
        <w:t/>
      </w:r>
    </w:p>
    <w:p>
      <w:pPr>
        <w:pStyle w:val="Para 08"/>
      </w:pPr>
      <w:r>
        <w:t xml:space="preserve">TqcRunas .............................................................................................................127 </w:t>
      </w:r>
    </w:p>
    <w:p>
      <w:pPr>
        <w:pStyle w:val="Para 25"/>
      </w:pPr>
      <w:r>
        <w:t/>
      </w:r>
    </w:p>
    <w:p>
      <w:pPr>
        <w:pStyle w:val="Normal"/>
      </w:pPr>
      <w:r>
        <w:t xml:space="preserve">Controlling Removable Media and Restricting Device Access...................................................128 </w:t>
      </w:r>
    </w:p>
    <w:p>
      <w:pPr>
        <w:pStyle w:val="Para 25"/>
      </w:pPr>
      <w:r>
        <w:t/>
      </w:r>
    </w:p>
    <w:p>
      <w:pPr>
        <w:pStyle w:val="Para 01"/>
      </w:pPr>
      <w:r>
        <w:t xml:space="preserve">Disable PnP and Other Devices .......................................................................................128 </w:t>
      </w:r>
    </w:p>
    <w:p>
      <w:pPr>
        <w:pStyle w:val="Para 25"/>
      </w:pPr>
      <w:r>
        <w:t/>
      </w:r>
    </w:p>
    <w:p>
      <w:pPr>
        <w:pStyle w:val="Para 08"/>
      </w:pPr>
      <w:r>
        <w:t xml:space="preserve">The </w:t>
      </w:r>
      <w:r>
        <w:rPr>
          <w:rStyle w:val="Text0"/>
        </w:rPr>
        <w:t>Load and unload device drivers</w:t>
      </w:r>
      <w:r>
        <w:t xml:space="preserve"> Right..........................................................129 </w:t>
      </w:r>
    </w:p>
    <w:p>
      <w:pPr>
        <w:pStyle w:val="Para 25"/>
      </w:pPr>
      <w:r>
        <w:t/>
      </w:r>
    </w:p>
    <w:p>
      <w:pPr>
        <w:pStyle w:val="Para 08"/>
      </w:pPr>
      <w:r>
        <w:t xml:space="preserve">SecureNT .............................................................................................................129 </w:t>
      </w:r>
    </w:p>
    <w:p>
      <w:pPr>
        <w:pStyle w:val="Para 25"/>
      </w:pPr>
      <w:r>
        <w:t/>
      </w:r>
    </w:p>
    <w:p>
      <w:pPr>
        <w:pStyle w:val="Normal"/>
      </w:pPr>
      <w:r>
        <w:t xml:space="preserve">General Security Recommendations............................................................................................130 </w:t>
      </w:r>
    </w:p>
    <w:p>
      <w:pPr>
        <w:pStyle w:val="Para 25"/>
      </w:pPr>
      <w:r>
        <w:t/>
      </w:r>
    </w:p>
    <w:p>
      <w:pPr>
        <w:pStyle w:val="Para 01"/>
      </w:pPr>
      <w:r>
        <w:t xml:space="preserve">Rename Local Administrator Account ............................................................................130 </w:t>
      </w:r>
    </w:p>
    <w:p>
      <w:pPr>
        <w:pStyle w:val="Para 25"/>
      </w:pPr>
      <w:r>
        <w:t/>
      </w:r>
    </w:p>
    <w:p>
      <w:pPr>
        <w:pStyle w:val="Para 01"/>
      </w:pPr>
      <w:r>
        <w:t xml:space="preserve">Enforce Complex Passwords ...........................................................................................130 </w:t>
      </w:r>
    </w:p>
    <w:p>
      <w:pPr>
        <w:pStyle w:val="Para 25"/>
      </w:pPr>
      <w:r>
        <w:t/>
      </w:r>
    </w:p>
    <w:p>
      <w:pPr>
        <w:pStyle w:val="Para 01"/>
      </w:pPr>
      <w:r>
        <w:t xml:space="preserve">Disable Guest Account ....................................................................................................131 </w:t>
      </w:r>
    </w:p>
    <w:p>
      <w:pPr>
        <w:pStyle w:val="Para 25"/>
      </w:pPr>
      <w:r>
        <w:t/>
      </w:r>
    </w:p>
    <w:p>
      <w:pPr>
        <w:pStyle w:val="Para 01"/>
      </w:pPr>
      <w:r>
        <w:t xml:space="preserve">Replace the Everyone Group with Authenticated Users on File Shares..........................131 </w:t>
      </w:r>
    </w:p>
    <w:p>
      <w:pPr>
        <w:pStyle w:val="Para 25"/>
      </w:pPr>
      <w:r>
        <w:t/>
      </w:r>
    </w:p>
    <w:p>
      <w:pPr>
        <w:pStyle w:val="Para 01"/>
      </w:pPr>
      <w:r>
        <w:t xml:space="preserve">Employ Logon Warning Messages..................................................................................132 </w:t>
      </w:r>
    </w:p>
    <w:p>
      <w:pPr>
        <w:pStyle w:val="Para 25"/>
      </w:pPr>
      <w:r>
        <w:t/>
      </w:r>
    </w:p>
    <w:p>
      <w:pPr>
        <w:pStyle w:val="Para 01"/>
      </w:pPr>
      <w:r>
        <w:t xml:space="preserve">Hide Last Logged On User Name....................................................................................132 </w:t>
      </w:r>
    </w:p>
    <w:p>
      <w:pPr>
        <w:pStyle w:val="Para 25"/>
      </w:pPr>
      <w:r>
        <w:t/>
      </w:r>
    </w:p>
    <w:p>
      <w:pPr>
        <w:pStyle w:val="Para 01"/>
      </w:pPr>
      <w:r>
        <w:t xml:space="preserve">Password Protect the Screensaver....................................................................................132 </w:t>
      </w:r>
    </w:p>
    <w:p>
      <w:pPr>
        <w:pStyle w:val="Para 25"/>
      </w:pPr>
      <w:r>
        <w:t/>
      </w:r>
    </w:p>
    <w:p>
      <w:pPr>
        <w:pStyle w:val="Para 01"/>
      </w:pPr>
      <w:r>
        <w:t xml:space="preserve">Enable Auditing ...............................................................................................................133 </w:t>
      </w:r>
    </w:p>
    <w:p>
      <w:pPr>
        <w:pStyle w:val="Para 25"/>
      </w:pPr>
      <w:r>
        <w:t/>
      </w:r>
    </w:p>
    <w:p>
      <w:pPr>
        <w:pStyle w:val="Para 01"/>
      </w:pPr>
      <w:r>
        <w:t xml:space="preserve">Use RunAs .......................................................................................................................133 </w:t>
      </w:r>
    </w:p>
    <w:p>
      <w:pPr>
        <w:pStyle w:val="Para 25"/>
      </w:pPr>
      <w:r>
        <w:t/>
      </w:r>
    </w:p>
    <w:p>
      <w:pPr>
        <w:pStyle w:val="Normal"/>
      </w:pPr>
      <w:r>
        <w:t xml:space="preserve">Examining Your Security ............................................................................................................133 </w:t>
      </w:r>
    </w:p>
    <w:p>
      <w:pPr>
        <w:pStyle w:val="Para 25"/>
      </w:pPr>
      <w:r>
        <w:t/>
      </w:r>
    </w:p>
    <w:p>
      <w:pPr>
        <w:pStyle w:val="Para 01"/>
      </w:pPr>
      <w:r>
        <w:t xml:space="preserve">Microsoft Baseline Security Analyzer .............................................................................133 </w:t>
      </w:r>
    </w:p>
    <w:p>
      <w:pPr>
        <w:pStyle w:val="Para 25"/>
      </w:pPr>
      <w:r>
        <w:t/>
      </w:r>
    </w:p>
    <w:p>
      <w:pPr>
        <w:pStyle w:val="Para 01"/>
      </w:pPr>
      <w:r>
        <w:t xml:space="preserve">Security Configuration and Analysis ...............................................................................135 </w:t>
      </w:r>
    </w:p>
    <w:p>
      <w:pPr>
        <w:pStyle w:val="Para 25"/>
      </w:pPr>
      <w:r>
        <w:t/>
      </w:r>
    </w:p>
    <w:p>
      <w:pPr>
        <w:pStyle w:val="Para 01"/>
      </w:pPr>
      <w:r>
        <w:t xml:space="preserve">SecEdit .............................................................................................................................136 </w:t>
      </w:r>
    </w:p>
    <w:p>
      <w:pPr>
        <w:pStyle w:val="Para 25"/>
      </w:pPr>
      <w:r>
        <w:t/>
      </w:r>
    </w:p>
    <w:p>
      <w:pPr>
        <w:pStyle w:val="Para 01"/>
      </w:pPr>
      <w:r>
        <w:t xml:space="preserve">Event Log Management ...................................................................................................137 </w:t>
      </w:r>
    </w:p>
    <w:p>
      <w:pPr>
        <w:pStyle w:val="Para 25"/>
      </w:pPr>
      <w:r>
        <w:t/>
      </w:r>
    </w:p>
    <w:p>
      <w:pPr>
        <w:pStyle w:val="Para 08"/>
      </w:pPr>
      <w:r>
        <w:t xml:space="preserve">Configuring Event Logs’ Retention.....................................................................137 </w:t>
      </w:r>
    </w:p>
    <w:p>
      <w:pPr>
        <w:pStyle w:val="Para 25"/>
      </w:pPr>
      <w:r>
        <w:t/>
      </w:r>
    </w:p>
    <w:p>
      <w:pPr>
        <w:pStyle w:val="Para 08"/>
      </w:pPr>
      <w:r>
        <w:t xml:space="preserve">Archiving Event Logs ..........................................................................................138 </w:t>
      </w:r>
    </w:p>
    <w:p>
      <w:pPr>
        <w:pStyle w:val="Para 25"/>
      </w:pPr>
      <w:r>
        <w:t/>
      </w:r>
    </w:p>
    <w:p>
      <w:pPr>
        <w:pStyle w:val="Normal"/>
      </w:pPr>
      <w:r>
        <w:t xml:space="preserve">Summary ......................................................................................................................................139 </w:t>
      </w:r>
    </w:p>
    <w:p>
      <w:pPr>
        <w:pStyle w:val="Para 25"/>
      </w:pPr>
      <w:r>
        <w:t/>
      </w:r>
    </w:p>
    <w:p>
      <w:pPr>
        <w:pStyle w:val="Normal"/>
      </w:pPr>
      <w:r>
        <w:t xml:space="preserve">Chapter 6: Desktop Support.........................................................................................................140 </w:t>
      </w:r>
    </w:p>
    <w:p>
      <w:pPr>
        <w:pStyle w:val="Para 25"/>
      </w:pPr>
      <w:r>
        <w:t/>
      </w:r>
    </w:p>
    <w:p>
      <w:pPr>
        <w:pStyle w:val="Normal"/>
      </w:pPr>
      <w:r>
        <w:t xml:space="preserve">Adopting and Implementing Best Practices.................................................................................140 </w:t>
      </w:r>
    </w:p>
    <w:p>
      <w:pPr>
        <w:pStyle w:val="Para 25"/>
      </w:pPr>
      <w:r>
        <w:t/>
      </w:r>
    </w:p>
    <w:p>
      <w:pPr>
        <w:pStyle w:val="Normal"/>
      </w:pPr>
      <w:r>
        <w:t xml:space="preserve">Desktop Support Best Practices ...................................................................................................142 </w:t>
      </w:r>
    </w:p>
    <w:p>
      <w:pPr>
        <w:pStyle w:val="Para 25"/>
      </w:pPr>
      <w:r>
        <w:t/>
      </w:r>
    </w:p>
    <w:p>
      <w:pPr>
        <w:pStyle w:val="Para 01"/>
      </w:pPr>
      <w:r>
        <w:t xml:space="preserve">Tracking Trouble Tickets.................................................................................................142 </w:t>
      </w:r>
    </w:p>
    <w:p>
      <w:pPr>
        <w:pStyle w:val="Para 25"/>
      </w:pPr>
      <w:r>
        <w:t/>
      </w:r>
    </w:p>
    <w:p>
      <w:pPr>
        <w:pStyle w:val="Para 08"/>
      </w:pPr>
      <w:r>
        <w:t xml:space="preserve">Web ......................................................................................................................142 </w:t>
      </w:r>
    </w:p>
    <w:p>
      <w:pPr>
        <w:pStyle w:val="Para 25"/>
      </w:pPr>
      <w:r>
        <w:t/>
      </w:r>
    </w:p>
    <w:p>
      <w:pPr>
        <w:pStyle w:val="Para 08"/>
      </w:pPr>
      <w:r>
        <w:t xml:space="preserve">Telephone.............................................................................................................142 </w:t>
      </w:r>
    </w:p>
    <w:p>
      <w:pPr>
        <w:pStyle w:val="Para 25"/>
      </w:pPr>
      <w:r>
        <w:t/>
      </w:r>
    </w:p>
    <w:p>
      <w:pPr>
        <w:pStyle w:val="Para 08"/>
      </w:pPr>
      <w:r>
        <w:t xml:space="preserve">Email ....................................................................................................................143 </w:t>
      </w:r>
    </w:p>
    <w:p>
      <w:pPr>
        <w:pStyle w:val="Para 25"/>
      </w:pPr>
      <w:r>
        <w:t/>
      </w:r>
    </w:p>
    <w:p>
      <w:pPr>
        <w:pStyle w:val="Para 08"/>
      </w:pPr>
      <w:r>
        <w:t xml:space="preserve">Walk Ups .............................................................................................................143 </w:t>
      </w:r>
    </w:p>
    <w:p>
      <w:pPr>
        <w:pStyle w:val="Para 25"/>
      </w:pPr>
      <w:r>
        <w:t/>
      </w:r>
    </w:p>
    <w:p>
      <w:pPr>
        <w:pStyle w:val="Para 01"/>
      </w:pPr>
      <w:r>
        <w:t xml:space="preserve">Using a Knowledge Base .................................................................................................143 </w:t>
      </w:r>
    </w:p>
    <w:p>
      <w:pPr>
        <w:pStyle w:val="Para 25"/>
      </w:pPr>
      <w:r>
        <w:t/>
      </w:r>
    </w:p>
    <w:p>
      <w:pPr>
        <w:pStyle w:val="Para 01"/>
      </w:pPr>
      <w:r>
        <w:t xml:space="preserve">Employing Remote Control .............................................................................................144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6" name="index-9_1.png" descr="index-9_1.png"/>
            <wp:cNvGraphicFramePr>
              <a:graphicFrameLocks noChangeAspect="1"/>
            </wp:cNvGraphicFramePr>
            <a:graphic>
              <a:graphicData uri="http://schemas.openxmlformats.org/drawingml/2006/picture">
                <pic:pic>
                  <pic:nvPicPr>
                    <pic:cNvPr id="0" name="index-9_1.png" descr="index-9_1.png"/>
                    <pic:cNvPicPr/>
                  </pic:nvPicPr>
                  <pic:blipFill>
                    <a:blip r:embed="rId2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7" name="index-9_2.png" descr="index-9_2.png"/>
            <wp:cNvGraphicFramePr>
              <a:graphicFrameLocks noChangeAspect="1"/>
            </wp:cNvGraphicFramePr>
            <a:graphic>
              <a:graphicData uri="http://schemas.openxmlformats.org/drawingml/2006/picture">
                <pic:pic>
                  <pic:nvPicPr>
                    <pic:cNvPr id="0" name="index-9_2.png" descr="index-9_2.png"/>
                    <pic:cNvPicPr/>
                  </pic:nvPicPr>
                  <pic:blipFill>
                    <a:blip r:embed="rId21"/>
                    <a:stretch>
                      <a:fillRect/>
                    </a:stretch>
                  </pic:blipFill>
                  <pic:spPr>
                    <a:xfrm>
                      <a:off x="0" y="0"/>
                      <a:ext cx="914400" cy="444500"/>
                    </a:xfrm>
                    <a:prstGeom prst="rect">
                      <a:avLst/>
                    </a:prstGeom>
                  </pic:spPr>
                </pic:pic>
              </a:graphicData>
            </a:graphic>
          </wp:anchor>
        </w:drawing>
      </w:r>
    </w:p>
    <w:p>
      <w:bookmarkStart w:id="10" w:name="Table_of_Contents_7"/>
      <w:pPr>
        <w:pStyle w:val="Heading 1"/>
      </w:pPr>
      <w:r>
        <w:t>Table of Contents</w:t>
      </w:r>
      <w:bookmarkEnd w:id="10"/>
    </w:p>
    <w:p>
      <w:pPr>
        <w:pStyle w:val="Para 25"/>
      </w:pPr>
      <w:r>
        <w:t/>
      </w:r>
    </w:p>
    <w:p>
      <w:pPr>
        <w:pStyle w:val="Para 08"/>
      </w:pPr>
      <w:r>
        <w:t xml:space="preserve">Microsoft..............................................................................................................145 </w:t>
      </w:r>
    </w:p>
    <w:p>
      <w:pPr>
        <w:pStyle w:val="Para 25"/>
      </w:pPr>
      <w:r>
        <w:t/>
      </w:r>
    </w:p>
    <w:p>
      <w:pPr>
        <w:pStyle w:val="Para 08"/>
      </w:pPr>
      <w:r>
        <w:t xml:space="preserve">AT&amp;T...................................................................................................................149 </w:t>
      </w:r>
    </w:p>
    <w:p>
      <w:pPr>
        <w:pStyle w:val="Para 25"/>
      </w:pPr>
      <w:r>
        <w:t/>
      </w:r>
    </w:p>
    <w:p>
      <w:pPr>
        <w:pStyle w:val="Para 08"/>
      </w:pPr>
      <w:r>
        <w:t xml:space="preserve">Paying for the Good Stuff ....................................................................................150 </w:t>
      </w:r>
    </w:p>
    <w:p>
      <w:pPr>
        <w:pStyle w:val="Para 25"/>
      </w:pPr>
      <w:r>
        <w:t/>
      </w:r>
    </w:p>
    <w:p>
      <w:pPr>
        <w:pStyle w:val="Normal"/>
      </w:pPr>
      <w:r>
        <w:t xml:space="preserve">Working through Problems..........................................................................................................151 </w:t>
      </w:r>
    </w:p>
    <w:p>
      <w:pPr>
        <w:pStyle w:val="Para 25"/>
      </w:pPr>
      <w:r>
        <w:t/>
      </w:r>
    </w:p>
    <w:p>
      <w:pPr>
        <w:pStyle w:val="Para 01"/>
      </w:pPr>
      <w:r>
        <w:t xml:space="preserve">What is Your System’s Computer Name? .......................................................................151 </w:t>
      </w:r>
    </w:p>
    <w:p>
      <w:pPr>
        <w:pStyle w:val="Para 25"/>
      </w:pPr>
      <w:r>
        <w:t/>
      </w:r>
    </w:p>
    <w:p>
      <w:pPr>
        <w:pStyle w:val="Para 01"/>
      </w:pPr>
      <w:r>
        <w:t xml:space="preserve">Where is that Computer? .................................................................................................151 </w:t>
      </w:r>
    </w:p>
    <w:p>
      <w:pPr>
        <w:pStyle w:val="Para 25"/>
      </w:pPr>
      <w:r>
        <w:t/>
      </w:r>
    </w:p>
    <w:p>
      <w:pPr>
        <w:pStyle w:val="Para 01"/>
      </w:pPr>
      <w:r>
        <w:t xml:space="preserve">Troubleshooting Tips .......................................................................................................153 </w:t>
      </w:r>
    </w:p>
    <w:p>
      <w:pPr>
        <w:pStyle w:val="Para 25"/>
      </w:pPr>
      <w:r>
        <w:t/>
      </w:r>
    </w:p>
    <w:p>
      <w:pPr>
        <w:pStyle w:val="Para 08"/>
      </w:pPr>
      <w:r>
        <w:t xml:space="preserve">Profile Problems...................................................................................................153 </w:t>
      </w:r>
    </w:p>
    <w:p>
      <w:pPr>
        <w:pStyle w:val="Para 25"/>
      </w:pPr>
      <w:r>
        <w:t/>
      </w:r>
    </w:p>
    <w:p>
      <w:pPr>
        <w:pStyle w:val="Para 08"/>
      </w:pPr>
      <w:r>
        <w:t xml:space="preserve">Works On One Computer, But Not On Another..................................................154 </w:t>
      </w:r>
    </w:p>
    <w:p>
      <w:pPr>
        <w:pStyle w:val="Para 25"/>
      </w:pPr>
      <w:r>
        <w:t/>
      </w:r>
    </w:p>
    <w:p>
      <w:pPr>
        <w:pStyle w:val="Para 08"/>
      </w:pPr>
      <w:r>
        <w:t xml:space="preserve">The Web Is Your Friend ......................................................................................155 </w:t>
      </w:r>
    </w:p>
    <w:p>
      <w:pPr>
        <w:pStyle w:val="Para 25"/>
      </w:pPr>
      <w:r>
        <w:t/>
      </w:r>
    </w:p>
    <w:p>
      <w:pPr>
        <w:pStyle w:val="Para 08"/>
      </w:pPr>
      <w:r>
        <w:t xml:space="preserve">Is it Worth the Time? ...........................................................................................156 </w:t>
      </w:r>
    </w:p>
    <w:p>
      <w:pPr>
        <w:pStyle w:val="Para 25"/>
      </w:pPr>
      <w:r>
        <w:t/>
      </w:r>
    </w:p>
    <w:p>
      <w:pPr>
        <w:pStyle w:val="Para 01"/>
      </w:pPr>
      <w:r>
        <w:t xml:space="preserve">Keeping Users Informed ..................................................................................................156 </w:t>
      </w:r>
    </w:p>
    <w:p>
      <w:pPr>
        <w:pStyle w:val="Para 25"/>
      </w:pPr>
      <w:r>
        <w:t/>
      </w:r>
    </w:p>
    <w:p>
      <w:pPr>
        <w:pStyle w:val="Normal"/>
      </w:pPr>
      <w:r>
        <w:t xml:space="preserve">Monitoring the End-User Experience ..........................................................................................157 </w:t>
      </w:r>
    </w:p>
    <w:p>
      <w:pPr>
        <w:pStyle w:val="Para 25"/>
      </w:pPr>
      <w:r>
        <w:t/>
      </w:r>
    </w:p>
    <w:p>
      <w:pPr>
        <w:pStyle w:val="Para 01"/>
      </w:pPr>
      <w:r>
        <w:t xml:space="preserve">Survey Users ....................................................................................................................158 </w:t>
      </w:r>
    </w:p>
    <w:p>
      <w:pPr>
        <w:pStyle w:val="Para 25"/>
      </w:pPr>
      <w:r>
        <w:t/>
      </w:r>
    </w:p>
    <w:p>
      <w:pPr>
        <w:pStyle w:val="Para 08"/>
      </w:pPr>
      <w:r>
        <w:t xml:space="preserve">Email ....................................................................................................................158 </w:t>
      </w:r>
    </w:p>
    <w:p>
      <w:pPr>
        <w:pStyle w:val="Para 25"/>
      </w:pPr>
      <w:r>
        <w:t/>
      </w:r>
    </w:p>
    <w:p>
      <w:pPr>
        <w:pStyle w:val="Normal"/>
      </w:pPr>
      <w:r>
        <w:t xml:space="preserve">Documenting Your Workload......................................................................................................160 </w:t>
      </w:r>
    </w:p>
    <w:p>
      <w:pPr>
        <w:pStyle w:val="Para 25"/>
      </w:pPr>
      <w:r>
        <w:t/>
      </w:r>
    </w:p>
    <w:p>
      <w:pPr>
        <w:pStyle w:val="Normal"/>
      </w:pPr>
      <w:r>
        <w:t xml:space="preserve">Summary ......................................................................................................................................160 </w:t>
      </w:r>
    </w:p>
    <w:p>
      <w:pPr>
        <w:pStyle w:val="Para 25"/>
      </w:pPr>
      <w:r>
        <w:t/>
      </w:r>
    </w:p>
    <w:p>
      <w:pPr>
        <w:pStyle w:val="Normal"/>
      </w:pPr>
      <w:r>
        <w:t xml:space="preserve">Chapter 7: Scripting Custom Solutions........................................................................................161 </w:t>
      </w:r>
    </w:p>
    <w:p>
      <w:pPr>
        <w:pStyle w:val="Para 25"/>
      </w:pPr>
      <w:r>
        <w:t/>
      </w:r>
    </w:p>
    <w:p>
      <w:pPr>
        <w:pStyle w:val="Normal"/>
      </w:pPr>
      <w:r>
        <w:t xml:space="preserve">Should You Script It?...................................................................................................................161 </w:t>
      </w:r>
    </w:p>
    <w:p>
      <w:pPr>
        <w:pStyle w:val="Para 25"/>
      </w:pPr>
      <w:r>
        <w:t/>
      </w:r>
    </w:p>
    <w:p>
      <w:pPr>
        <w:pStyle w:val="Normal"/>
      </w:pPr>
      <w:r>
        <w:t xml:space="preserve">Choosing a Scripting Language ...................................................................................................164 </w:t>
      </w:r>
    </w:p>
    <w:p>
      <w:pPr>
        <w:pStyle w:val="Para 25"/>
      </w:pPr>
      <w:r>
        <w:t/>
      </w:r>
    </w:p>
    <w:p>
      <w:pPr>
        <w:pStyle w:val="Para 01"/>
      </w:pPr>
      <w:r>
        <w:t xml:space="preserve">VBScript ..........................................................................................................................164 </w:t>
      </w:r>
    </w:p>
    <w:p>
      <w:pPr>
        <w:pStyle w:val="Para 25"/>
      </w:pPr>
      <w:r>
        <w:t/>
      </w:r>
    </w:p>
    <w:p>
      <w:pPr>
        <w:pStyle w:val="Para 01"/>
      </w:pPr>
      <w:r>
        <w:t xml:space="preserve">KiXtart .............................................................................................................................165 </w:t>
      </w:r>
    </w:p>
    <w:p>
      <w:pPr>
        <w:pStyle w:val="Para 25"/>
      </w:pPr>
      <w:r>
        <w:t/>
      </w:r>
    </w:p>
    <w:p>
      <w:pPr>
        <w:pStyle w:val="Para 01"/>
      </w:pPr>
      <w:r>
        <w:t xml:space="preserve">JScript ..............................................................................................................................165 </w:t>
      </w:r>
    </w:p>
    <w:p>
      <w:pPr>
        <w:pStyle w:val="Para 25"/>
      </w:pPr>
      <w:r>
        <w:t/>
      </w:r>
    </w:p>
    <w:p>
      <w:pPr>
        <w:pStyle w:val="Para 01"/>
      </w:pPr>
      <w:r>
        <w:t xml:space="preserve">WinBatch .........................................................................................................................166 </w:t>
      </w:r>
    </w:p>
    <w:p>
      <w:pPr>
        <w:pStyle w:val="Para 25"/>
      </w:pPr>
      <w:r>
        <w:t/>
      </w:r>
    </w:p>
    <w:p>
      <w:pPr>
        <w:pStyle w:val="Para 01"/>
      </w:pPr>
      <w:r>
        <w:t xml:space="preserve">PerlScript..........................................................................................................................166 </w:t>
      </w:r>
    </w:p>
    <w:p>
      <w:pPr>
        <w:pStyle w:val="Para 25"/>
      </w:pPr>
      <w:r>
        <w:t/>
      </w:r>
    </w:p>
    <w:p>
      <w:pPr>
        <w:pStyle w:val="Para 01"/>
      </w:pPr>
      <w:r>
        <w:t xml:space="preserve">Shell Scripting..................................................................................................................166 </w:t>
      </w:r>
    </w:p>
    <w:p>
      <w:pPr>
        <w:pStyle w:val="Para 25"/>
      </w:pPr>
      <w:r>
        <w:t/>
      </w:r>
    </w:p>
    <w:p>
      <w:pPr>
        <w:pStyle w:val="Normal"/>
      </w:pPr>
      <w:r>
        <w:t xml:space="preserve">COM Automation ........................................................................................................................167 </w:t>
      </w:r>
    </w:p>
    <w:p>
      <w:pPr>
        <w:pStyle w:val="Para 25"/>
      </w:pPr>
      <w:r>
        <w:t/>
      </w:r>
    </w:p>
    <w:p>
      <w:pPr>
        <w:pStyle w:val="Para 01"/>
      </w:pPr>
      <w:r>
        <w:t xml:space="preserve">WMI .................................................................................................................................167 </w:t>
      </w:r>
    </w:p>
    <w:p>
      <w:pPr>
        <w:pStyle w:val="Para 25"/>
      </w:pPr>
      <w:r>
        <w:t/>
      </w:r>
    </w:p>
    <w:p>
      <w:pPr>
        <w:pStyle w:val="Para 01"/>
      </w:pPr>
      <w:r>
        <w:t xml:space="preserve">Active Directory Service Interfaces.................................................................................167 </w:t>
      </w:r>
    </w:p>
    <w:p>
      <w:pPr>
        <w:pStyle w:val="Para 25"/>
      </w:pPr>
      <w:r>
        <w:t/>
      </w:r>
    </w:p>
    <w:p>
      <w:pPr>
        <w:pStyle w:val="Para 01"/>
      </w:pPr>
      <w:r>
        <w:t xml:space="preserve">WSH.................................................................................................................................167 </w:t>
      </w:r>
    </w:p>
    <w:p>
      <w:pPr>
        <w:pStyle w:val="Para 25"/>
      </w:pPr>
      <w:r>
        <w:t/>
      </w:r>
    </w:p>
    <w:p>
      <w:pPr>
        <w:pStyle w:val="Para 01"/>
      </w:pPr>
      <w:r>
        <w:t xml:space="preserve">ActiveX Data Objects ......................................................................................................168 </w:t>
      </w:r>
    </w:p>
    <w:p>
      <w:pPr>
        <w:pStyle w:val="Para 25"/>
      </w:pPr>
      <w:r>
        <w:t/>
      </w:r>
    </w:p>
    <w:p>
      <w:pPr>
        <w:pStyle w:val="Para 01"/>
      </w:pPr>
      <w:r>
        <w:t xml:space="preserve">Internet Explorer ..............................................................................................................169 </w:t>
      </w:r>
    </w:p>
    <w:p>
      <w:pPr>
        <w:pStyle w:val="Para 25"/>
      </w:pPr>
      <w:r>
        <w:t/>
      </w:r>
    </w:p>
    <w:p>
      <w:pPr>
        <w:pStyle w:val="Para 08"/>
      </w:pPr>
      <w:r>
        <w:t xml:space="preserve">Automate Actions ................................................................................................169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8" name="index-10_1.png" descr="index-10_1.png"/>
            <wp:cNvGraphicFramePr>
              <a:graphicFrameLocks noChangeAspect="1"/>
            </wp:cNvGraphicFramePr>
            <a:graphic>
              <a:graphicData uri="http://schemas.openxmlformats.org/drawingml/2006/picture">
                <pic:pic>
                  <pic:nvPicPr>
                    <pic:cNvPr id="0" name="index-10_1.png" descr="index-10_1.png"/>
                    <pic:cNvPicPr/>
                  </pic:nvPicPr>
                  <pic:blipFill>
                    <a:blip r:embed="rId2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9" name="index-10_2.png" descr="index-10_2.png"/>
            <wp:cNvGraphicFramePr>
              <a:graphicFrameLocks noChangeAspect="1"/>
            </wp:cNvGraphicFramePr>
            <a:graphic>
              <a:graphicData uri="http://schemas.openxmlformats.org/drawingml/2006/picture">
                <pic:pic>
                  <pic:nvPicPr>
                    <pic:cNvPr id="0" name="index-10_2.png" descr="index-10_2.png"/>
                    <pic:cNvPicPr/>
                  </pic:nvPicPr>
                  <pic:blipFill>
                    <a:blip r:embed="rId23"/>
                    <a:stretch>
                      <a:fillRect/>
                    </a:stretch>
                  </pic:blipFill>
                  <pic:spPr>
                    <a:xfrm>
                      <a:off x="0" y="0"/>
                      <a:ext cx="914400" cy="444500"/>
                    </a:xfrm>
                    <a:prstGeom prst="rect">
                      <a:avLst/>
                    </a:prstGeom>
                  </pic:spPr>
                </pic:pic>
              </a:graphicData>
            </a:graphic>
          </wp:anchor>
        </w:drawing>
      </w:r>
    </w:p>
    <w:p>
      <w:bookmarkStart w:id="11" w:name="Table_of_Contents_8"/>
      <w:pPr>
        <w:pStyle w:val="Heading 1"/>
      </w:pPr>
      <w:r>
        <w:t>Table of Contents</w:t>
      </w:r>
      <w:bookmarkEnd w:id="11"/>
    </w:p>
    <w:p>
      <w:pPr>
        <w:pStyle w:val="Para 25"/>
      </w:pPr>
      <w:r>
        <w:t/>
      </w:r>
    </w:p>
    <w:p>
      <w:pPr>
        <w:pStyle w:val="Para 08"/>
      </w:pPr>
      <w:r>
        <w:t xml:space="preserve">Display Information .............................................................................................169 </w:t>
      </w:r>
    </w:p>
    <w:p>
      <w:pPr>
        <w:pStyle w:val="Para 25"/>
      </w:pPr>
      <w:r>
        <w:t/>
      </w:r>
    </w:p>
    <w:p>
      <w:pPr>
        <w:pStyle w:val="Normal"/>
      </w:pPr>
      <w:r>
        <w:t xml:space="preserve">Running Your Scripts ..................................................................................................................171 </w:t>
      </w:r>
    </w:p>
    <w:p>
      <w:pPr>
        <w:pStyle w:val="Para 25"/>
      </w:pPr>
      <w:r>
        <w:t/>
      </w:r>
    </w:p>
    <w:p>
      <w:pPr>
        <w:pStyle w:val="Para 01"/>
      </w:pPr>
      <w:r>
        <w:t xml:space="preserve">Logon Scripts ...................................................................................................................171 </w:t>
      </w:r>
    </w:p>
    <w:p>
      <w:pPr>
        <w:pStyle w:val="Para 25"/>
      </w:pPr>
      <w:r>
        <w:t/>
      </w:r>
    </w:p>
    <w:p>
      <w:pPr>
        <w:pStyle w:val="Para 01"/>
      </w:pPr>
      <w:r>
        <w:t xml:space="preserve">RunOnce and Run ............................................................................................................173 </w:t>
      </w:r>
    </w:p>
    <w:p>
      <w:pPr>
        <w:pStyle w:val="Para 25"/>
      </w:pPr>
      <w:r>
        <w:t/>
      </w:r>
    </w:p>
    <w:p>
      <w:pPr>
        <w:pStyle w:val="Para 01"/>
      </w:pPr>
      <w:r>
        <w:t xml:space="preserve">Startup Shortcuts..............................................................................................................173 </w:t>
      </w:r>
    </w:p>
    <w:p>
      <w:pPr>
        <w:pStyle w:val="Para 25"/>
      </w:pPr>
      <w:r>
        <w:t/>
      </w:r>
    </w:p>
    <w:p>
      <w:pPr>
        <w:pStyle w:val="Para 01"/>
      </w:pPr>
      <w:r>
        <w:t xml:space="preserve">Schedulers ........................................................................................................................174 </w:t>
      </w:r>
    </w:p>
    <w:p>
      <w:pPr>
        <w:pStyle w:val="Para 25"/>
      </w:pPr>
      <w:r>
        <w:t/>
      </w:r>
    </w:p>
    <w:p>
      <w:pPr>
        <w:pStyle w:val="Para 01"/>
      </w:pPr>
      <w:r>
        <w:t xml:space="preserve">Manual Execution ............................................................................................................175 </w:t>
      </w:r>
    </w:p>
    <w:p>
      <w:pPr>
        <w:pStyle w:val="Para 25"/>
      </w:pPr>
      <w:r>
        <w:t/>
      </w:r>
    </w:p>
    <w:p>
      <w:pPr>
        <w:pStyle w:val="Para 01"/>
      </w:pPr>
      <w:r>
        <w:t xml:space="preserve">Group Policy ....................................................................................................................176 </w:t>
      </w:r>
    </w:p>
    <w:p>
      <w:pPr>
        <w:pStyle w:val="Para 25"/>
      </w:pPr>
      <w:r>
        <w:t/>
      </w:r>
    </w:p>
    <w:p>
      <w:pPr>
        <w:pStyle w:val="Para 01"/>
      </w:pPr>
      <w:r>
        <w:t xml:space="preserve">Assigning Scripts .............................................................................................................176 </w:t>
      </w:r>
    </w:p>
    <w:p>
      <w:pPr>
        <w:pStyle w:val="Para 25"/>
      </w:pPr>
      <w:r>
        <w:t/>
      </w:r>
    </w:p>
    <w:p>
      <w:pPr>
        <w:pStyle w:val="Normal"/>
      </w:pPr>
      <w:r>
        <w:t xml:space="preserve">Building Lists...............................................................................................................................177 </w:t>
      </w:r>
    </w:p>
    <w:p>
      <w:pPr>
        <w:pStyle w:val="Para 25"/>
      </w:pPr>
      <w:r>
        <w:t/>
      </w:r>
    </w:p>
    <w:p>
      <w:pPr>
        <w:pStyle w:val="Para 01"/>
      </w:pPr>
      <w:r>
        <w:t xml:space="preserve">Machine List ....................................................................................................................178 </w:t>
      </w:r>
    </w:p>
    <w:p>
      <w:pPr>
        <w:pStyle w:val="Para 25"/>
      </w:pPr>
      <w:r>
        <w:t/>
      </w:r>
    </w:p>
    <w:p>
      <w:pPr>
        <w:pStyle w:val="Para 08"/>
      </w:pPr>
      <w:r>
        <w:t xml:space="preserve">AD........................................................................................................................178 </w:t>
      </w:r>
    </w:p>
    <w:p>
      <w:pPr>
        <w:pStyle w:val="Para 25"/>
      </w:pPr>
      <w:r>
        <w:t/>
      </w:r>
    </w:p>
    <w:p>
      <w:pPr>
        <w:pStyle w:val="Para 08"/>
      </w:pPr>
      <w:r>
        <w:t xml:space="preserve">Server Manager....................................................................................................179 </w:t>
      </w:r>
    </w:p>
    <w:p>
      <w:pPr>
        <w:pStyle w:val="Para 25"/>
      </w:pPr>
      <w:r>
        <w:t/>
      </w:r>
    </w:p>
    <w:p>
      <w:pPr>
        <w:pStyle w:val="Para 08"/>
      </w:pPr>
      <w:r>
        <w:t xml:space="preserve">NET VIEW ..........................................................................................................180 </w:t>
      </w:r>
    </w:p>
    <w:p>
      <w:pPr>
        <w:pStyle w:val="Para 25"/>
      </w:pPr>
      <w:r>
        <w:t/>
      </w:r>
    </w:p>
    <w:p>
      <w:pPr>
        <w:pStyle w:val="Normal"/>
      </w:pPr>
      <w:r>
        <w:t xml:space="preserve">Custom Script Examples..............................................................................................................180 </w:t>
      </w:r>
    </w:p>
    <w:p>
      <w:pPr>
        <w:pStyle w:val="Para 25"/>
      </w:pPr>
      <w:r>
        <w:t/>
      </w:r>
    </w:p>
    <w:p>
      <w:pPr>
        <w:pStyle w:val="Para 01"/>
      </w:pPr>
      <w:r>
        <w:t xml:space="preserve">Restarting Remote Systems .............................................................................................181 </w:t>
      </w:r>
    </w:p>
    <w:p>
      <w:pPr>
        <w:pStyle w:val="Para 25"/>
      </w:pPr>
      <w:r>
        <w:t/>
      </w:r>
    </w:p>
    <w:p>
      <w:pPr>
        <w:pStyle w:val="Para 01"/>
      </w:pPr>
      <w:r>
        <w:t xml:space="preserve">Backing Up Event Logs ...................................................................................................181 </w:t>
      </w:r>
    </w:p>
    <w:p>
      <w:pPr>
        <w:pStyle w:val="Para 25"/>
      </w:pPr>
      <w:r>
        <w:t/>
      </w:r>
    </w:p>
    <w:p>
      <w:pPr>
        <w:pStyle w:val="Para 01"/>
      </w:pPr>
      <w:r>
        <w:t xml:space="preserve">Software Inventory...........................................................................................................182 </w:t>
      </w:r>
    </w:p>
    <w:p>
      <w:pPr>
        <w:pStyle w:val="Para 25"/>
      </w:pPr>
      <w:r>
        <w:t/>
      </w:r>
    </w:p>
    <w:p>
      <w:pPr>
        <w:pStyle w:val="Para 08"/>
      </w:pPr>
      <w:r>
        <w:t xml:space="preserve">Reading the Registry............................................................................................182 </w:t>
      </w:r>
    </w:p>
    <w:p>
      <w:pPr>
        <w:pStyle w:val="Para 25"/>
      </w:pPr>
      <w:r>
        <w:t/>
      </w:r>
    </w:p>
    <w:p>
      <w:pPr>
        <w:pStyle w:val="Para 08"/>
      </w:pPr>
      <w:r>
        <w:t xml:space="preserve">Windows Installer ................................................................................................183 </w:t>
      </w:r>
    </w:p>
    <w:p>
      <w:pPr>
        <w:pStyle w:val="Para 25"/>
      </w:pPr>
      <w:r>
        <w:t/>
      </w:r>
    </w:p>
    <w:p>
      <w:pPr>
        <w:pStyle w:val="Para 01"/>
      </w:pPr>
      <w:r>
        <w:t xml:space="preserve">The AutoLogon Process...................................................................................................184 </w:t>
      </w:r>
    </w:p>
    <w:p>
      <w:pPr>
        <w:pStyle w:val="Para 25"/>
      </w:pPr>
      <w:r>
        <w:t/>
      </w:r>
    </w:p>
    <w:p>
      <w:pPr>
        <w:pStyle w:val="Para 08"/>
      </w:pPr>
      <w:r>
        <w:t xml:space="preserve">Restricting Access................................................................................................185 </w:t>
      </w:r>
    </w:p>
    <w:p>
      <w:pPr>
        <w:pStyle w:val="Para 25"/>
      </w:pPr>
      <w:r>
        <w:t/>
      </w:r>
    </w:p>
    <w:p>
      <w:pPr>
        <w:pStyle w:val="Normal"/>
      </w:pPr>
      <w:r>
        <w:t xml:space="preserve">Summary ......................................................................................................................................186 </w:t>
      </w:r>
    </w:p>
    <w:p>
      <w:pPr>
        <w:pStyle w:val="Para 25"/>
      </w:pPr>
      <w:r>
        <w:t/>
      </w:r>
    </w:p>
    <w:p>
      <w:pPr>
        <w:pStyle w:val="Normal"/>
      </w:pPr>
      <w:r>
        <w:t xml:space="preserve">Chapter 8: Asset Management .....................................................................................................187 </w:t>
      </w:r>
    </w:p>
    <w:p>
      <w:pPr>
        <w:pStyle w:val="Para 25"/>
      </w:pPr>
      <w:r>
        <w:t/>
      </w:r>
    </w:p>
    <w:p>
      <w:pPr>
        <w:pStyle w:val="Normal"/>
      </w:pPr>
      <w:r>
        <w:t xml:space="preserve">Inventory ......................................................................................................................................187 </w:t>
      </w:r>
    </w:p>
    <w:p>
      <w:pPr>
        <w:pStyle w:val="Para 25"/>
      </w:pPr>
      <w:r>
        <w:t/>
      </w:r>
    </w:p>
    <w:p>
      <w:pPr>
        <w:pStyle w:val="Para 01"/>
      </w:pPr>
      <w:r>
        <w:t xml:space="preserve">Benefits of Maintaining an Updated Hardware Inventory...............................................187 </w:t>
      </w:r>
    </w:p>
    <w:p>
      <w:pPr>
        <w:pStyle w:val="Para 25"/>
      </w:pPr>
      <w:r>
        <w:t/>
      </w:r>
    </w:p>
    <w:p>
      <w:pPr>
        <w:pStyle w:val="Para 08"/>
      </w:pPr>
      <w:r>
        <w:t xml:space="preserve">Ensuring Minimum System Requirements Are Met............................................188 </w:t>
      </w:r>
    </w:p>
    <w:p>
      <w:pPr>
        <w:pStyle w:val="Para 25"/>
      </w:pPr>
      <w:r>
        <w:t/>
      </w:r>
    </w:p>
    <w:p>
      <w:pPr>
        <w:pStyle w:val="Para 08"/>
      </w:pPr>
      <w:r>
        <w:t xml:space="preserve">Knowing Where to Replace Hardware ................................................................189 </w:t>
      </w:r>
    </w:p>
    <w:p>
      <w:pPr>
        <w:pStyle w:val="Para 25"/>
      </w:pPr>
      <w:r>
        <w:t/>
      </w:r>
    </w:p>
    <w:p>
      <w:pPr>
        <w:pStyle w:val="Para 08"/>
      </w:pPr>
      <w:r>
        <w:t xml:space="preserve">Enhancing System Components ..........................................................................189 </w:t>
      </w:r>
    </w:p>
    <w:p>
      <w:pPr>
        <w:pStyle w:val="Para 25"/>
      </w:pPr>
      <w:r>
        <w:t/>
      </w:r>
    </w:p>
    <w:p>
      <w:pPr>
        <w:pStyle w:val="Para 08"/>
      </w:pPr>
      <w:r>
        <w:t xml:space="preserve">Improving Help Desk Productivity......................................................................189 </w:t>
      </w:r>
    </w:p>
    <w:p>
      <w:pPr>
        <w:pStyle w:val="Para 25"/>
      </w:pPr>
      <w:r>
        <w:t/>
      </w:r>
    </w:p>
    <w:p>
      <w:pPr>
        <w:pStyle w:val="Para 08"/>
      </w:pPr>
      <w:r>
        <w:t xml:space="preserve">Deterring Loss and Theft .....................................................................................190 </w:t>
      </w:r>
    </w:p>
    <w:p>
      <w:pPr>
        <w:pStyle w:val="Para 25"/>
      </w:pPr>
      <w:r>
        <w:t/>
      </w:r>
    </w:p>
    <w:p>
      <w:pPr>
        <w:pStyle w:val="Para 01"/>
      </w:pPr>
      <w:r>
        <w:t xml:space="preserve">Hardware Inventory Methods ..........................................................................................190 </w:t>
      </w:r>
    </w:p>
    <w:p>
      <w:pPr>
        <w:pStyle w:val="Para 25"/>
      </w:pPr>
      <w:r>
        <w:t/>
      </w:r>
    </w:p>
    <w:p>
      <w:pPr>
        <w:pStyle w:val="Normal"/>
      </w:pPr>
      <w:r>
        <w:t xml:space="preserve">Software Licensing ......................................................................................................................195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0" name="index-11_1.png" descr="index-11_1.png"/>
            <wp:cNvGraphicFramePr>
              <a:graphicFrameLocks noChangeAspect="1"/>
            </wp:cNvGraphicFramePr>
            <a:graphic>
              <a:graphicData uri="http://schemas.openxmlformats.org/drawingml/2006/picture">
                <pic:pic>
                  <pic:nvPicPr>
                    <pic:cNvPr id="0" name="index-11_1.png" descr="index-11_1.png"/>
                    <pic:cNvPicPr/>
                  </pic:nvPicPr>
                  <pic:blipFill>
                    <a:blip r:embed="rId2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1" name="index-11_2.png" descr="index-11_2.png"/>
            <wp:cNvGraphicFramePr>
              <a:graphicFrameLocks noChangeAspect="1"/>
            </wp:cNvGraphicFramePr>
            <a:graphic>
              <a:graphicData uri="http://schemas.openxmlformats.org/drawingml/2006/picture">
                <pic:pic>
                  <pic:nvPicPr>
                    <pic:cNvPr id="0" name="index-11_2.png" descr="index-11_2.png"/>
                    <pic:cNvPicPr/>
                  </pic:nvPicPr>
                  <pic:blipFill>
                    <a:blip r:embed="rId25"/>
                    <a:stretch>
                      <a:fillRect/>
                    </a:stretch>
                  </pic:blipFill>
                  <pic:spPr>
                    <a:xfrm>
                      <a:off x="0" y="0"/>
                      <a:ext cx="914400" cy="444500"/>
                    </a:xfrm>
                    <a:prstGeom prst="rect">
                      <a:avLst/>
                    </a:prstGeom>
                  </pic:spPr>
                </pic:pic>
              </a:graphicData>
            </a:graphic>
          </wp:anchor>
        </w:drawing>
      </w:r>
    </w:p>
    <w:p>
      <w:bookmarkStart w:id="12" w:name="Table_of_Contents_9"/>
      <w:pPr>
        <w:pStyle w:val="Heading 1"/>
      </w:pPr>
      <w:r>
        <w:t>Table of Contents</w:t>
      </w:r>
      <w:bookmarkEnd w:id="12"/>
    </w:p>
    <w:p>
      <w:pPr>
        <w:pStyle w:val="Para 25"/>
      </w:pPr>
      <w:r>
        <w:t/>
      </w:r>
    </w:p>
    <w:p>
      <w:pPr>
        <w:pStyle w:val="Para 01"/>
      </w:pPr>
      <w:r>
        <w:t xml:space="preserve">Ensuring License Compliance .........................................................................................195 </w:t>
      </w:r>
    </w:p>
    <w:p>
      <w:pPr>
        <w:pStyle w:val="Para 25"/>
      </w:pPr>
      <w:r>
        <w:t/>
      </w:r>
    </w:p>
    <w:p>
      <w:pPr>
        <w:pStyle w:val="Para 08"/>
      </w:pPr>
      <w:r>
        <w:t xml:space="preserve">License Types ......................................................................................................195 </w:t>
      </w:r>
    </w:p>
    <w:p>
      <w:pPr>
        <w:pStyle w:val="Para 25"/>
      </w:pPr>
      <w:r>
        <w:t/>
      </w:r>
    </w:p>
    <w:p>
      <w:pPr>
        <w:pStyle w:val="Para 01"/>
      </w:pPr>
      <w:r>
        <w:t xml:space="preserve">Licensing Methods...........................................................................................................196 </w:t>
      </w:r>
    </w:p>
    <w:p>
      <w:pPr>
        <w:pStyle w:val="Para 25"/>
      </w:pPr>
      <w:r>
        <w:t/>
      </w:r>
    </w:p>
    <w:p>
      <w:pPr>
        <w:pStyle w:val="Para 01"/>
      </w:pPr>
      <w:r>
        <w:t xml:space="preserve">Buying Only What You Use ............................................................................................197 </w:t>
      </w:r>
    </w:p>
    <w:p>
      <w:pPr>
        <w:pStyle w:val="Para 25"/>
      </w:pPr>
      <w:r>
        <w:t/>
      </w:r>
    </w:p>
    <w:p>
      <w:pPr>
        <w:pStyle w:val="Para 08"/>
      </w:pPr>
      <w:r>
        <w:t xml:space="preserve">Software Metering ...............................................................................................197 </w:t>
      </w:r>
    </w:p>
    <w:p>
      <w:pPr>
        <w:pStyle w:val="Para 25"/>
      </w:pPr>
      <w:r>
        <w:t/>
      </w:r>
    </w:p>
    <w:p>
      <w:pPr>
        <w:pStyle w:val="Para 01"/>
      </w:pPr>
      <w:r>
        <w:t xml:space="preserve">Validating Your Environment..........................................................................................198 </w:t>
      </w:r>
    </w:p>
    <w:p>
      <w:pPr>
        <w:pStyle w:val="Para 25"/>
      </w:pPr>
      <w:r>
        <w:t/>
      </w:r>
    </w:p>
    <w:p>
      <w:pPr>
        <w:pStyle w:val="Para 01"/>
      </w:pPr>
      <w:r>
        <w:t xml:space="preserve">Software Inventory Tools ................................................................................................199 </w:t>
      </w:r>
    </w:p>
    <w:p>
      <w:pPr>
        <w:pStyle w:val="Para 25"/>
      </w:pPr>
      <w:r>
        <w:t/>
      </w:r>
    </w:p>
    <w:p>
      <w:pPr>
        <w:pStyle w:val="Para 01"/>
      </w:pPr>
      <w:r>
        <w:t xml:space="preserve">Software Inventory Methods............................................................................................200 </w:t>
      </w:r>
    </w:p>
    <w:p>
      <w:pPr>
        <w:pStyle w:val="Para 25"/>
      </w:pPr>
      <w:r>
        <w:t/>
      </w:r>
    </w:p>
    <w:p>
      <w:pPr>
        <w:pStyle w:val="Normal"/>
      </w:pPr>
      <w:r>
        <w:t xml:space="preserve">Change Management ...................................................................................................................203 </w:t>
      </w:r>
    </w:p>
    <w:p>
      <w:pPr>
        <w:pStyle w:val="Para 25"/>
      </w:pPr>
      <w:r>
        <w:t/>
      </w:r>
    </w:p>
    <w:p>
      <w:pPr>
        <w:pStyle w:val="Para 01"/>
      </w:pPr>
      <w:r>
        <w:t xml:space="preserve">Establishing Policies for Change .....................................................................................204 </w:t>
      </w:r>
    </w:p>
    <w:p>
      <w:pPr>
        <w:pStyle w:val="Para 25"/>
      </w:pPr>
      <w:r>
        <w:t/>
      </w:r>
    </w:p>
    <w:p>
      <w:pPr>
        <w:pStyle w:val="Para 08"/>
      </w:pPr>
      <w:r>
        <w:t xml:space="preserve">Goals and Objectives ...........................................................................................204 </w:t>
      </w:r>
    </w:p>
    <w:p>
      <w:pPr>
        <w:pStyle w:val="Para 25"/>
      </w:pPr>
      <w:r>
        <w:t/>
      </w:r>
    </w:p>
    <w:p>
      <w:pPr>
        <w:pStyle w:val="Para 08"/>
      </w:pPr>
      <w:r>
        <w:t xml:space="preserve">Roles and Responsibilities ...................................................................................205 </w:t>
      </w:r>
    </w:p>
    <w:p>
      <w:pPr>
        <w:pStyle w:val="Para 25"/>
      </w:pPr>
      <w:r>
        <w:t/>
      </w:r>
    </w:p>
    <w:p>
      <w:pPr>
        <w:pStyle w:val="Para 08"/>
      </w:pPr>
      <w:r>
        <w:t xml:space="preserve">Initiation Procedures ............................................................................................205 </w:t>
      </w:r>
    </w:p>
    <w:p>
      <w:pPr>
        <w:pStyle w:val="Para 25"/>
      </w:pPr>
      <w:r>
        <w:t/>
      </w:r>
    </w:p>
    <w:p>
      <w:pPr>
        <w:pStyle w:val="Para 08"/>
      </w:pPr>
      <w:r>
        <w:t xml:space="preserve">Approval Procedures............................................................................................205 </w:t>
      </w:r>
    </w:p>
    <w:p>
      <w:pPr>
        <w:pStyle w:val="Para 25"/>
      </w:pPr>
      <w:r>
        <w:t/>
      </w:r>
    </w:p>
    <w:p>
      <w:pPr>
        <w:pStyle w:val="Para 08"/>
      </w:pPr>
      <w:r>
        <w:t xml:space="preserve">Design, Planning, and Testing .............................................................................205 </w:t>
      </w:r>
    </w:p>
    <w:p>
      <w:pPr>
        <w:pStyle w:val="Para 25"/>
      </w:pPr>
      <w:r>
        <w:t/>
      </w:r>
    </w:p>
    <w:p>
      <w:pPr>
        <w:pStyle w:val="Para 08"/>
      </w:pPr>
      <w:r>
        <w:t xml:space="preserve">Scheduling............................................................................................................205 </w:t>
      </w:r>
    </w:p>
    <w:p>
      <w:pPr>
        <w:pStyle w:val="Para 25"/>
      </w:pPr>
      <w:r>
        <w:t/>
      </w:r>
    </w:p>
    <w:p>
      <w:pPr>
        <w:pStyle w:val="Para 08"/>
      </w:pPr>
      <w:r>
        <w:t xml:space="preserve">Communication....................................................................................................206 </w:t>
      </w:r>
    </w:p>
    <w:p>
      <w:pPr>
        <w:pStyle w:val="Para 25"/>
      </w:pPr>
      <w:r>
        <w:t/>
      </w:r>
    </w:p>
    <w:p>
      <w:pPr>
        <w:pStyle w:val="Para 08"/>
      </w:pPr>
      <w:r>
        <w:t xml:space="preserve">Recovery and Support..........................................................................................206 </w:t>
      </w:r>
    </w:p>
    <w:p>
      <w:pPr>
        <w:pStyle w:val="Para 25"/>
      </w:pPr>
      <w:r>
        <w:t/>
      </w:r>
    </w:p>
    <w:p>
      <w:pPr>
        <w:pStyle w:val="Para 08"/>
      </w:pPr>
      <w:r>
        <w:t xml:space="preserve">Documentation and Tracking...............................................................................206 </w:t>
      </w:r>
    </w:p>
    <w:p>
      <w:pPr>
        <w:pStyle w:val="Para 25"/>
      </w:pPr>
      <w:r>
        <w:t/>
      </w:r>
    </w:p>
    <w:p>
      <w:pPr>
        <w:pStyle w:val="Para 08"/>
      </w:pPr>
      <w:r>
        <w:t xml:space="preserve">Waivers and Exceptions.......................................................................................206 </w:t>
      </w:r>
    </w:p>
    <w:p>
      <w:pPr>
        <w:pStyle w:val="Para 25"/>
      </w:pPr>
      <w:r>
        <w:t/>
      </w:r>
    </w:p>
    <w:p>
      <w:pPr>
        <w:pStyle w:val="Normal"/>
      </w:pPr>
      <w:r>
        <w:t xml:space="preserve">Summary ......................................................................................................................................206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2" name="index-12_1.png" descr="index-12_1.png"/>
            <wp:cNvGraphicFramePr>
              <a:graphicFrameLocks noChangeAspect="1"/>
            </wp:cNvGraphicFramePr>
            <a:graphic>
              <a:graphicData uri="http://schemas.openxmlformats.org/drawingml/2006/picture">
                <pic:pic>
                  <pic:nvPicPr>
                    <pic:cNvPr id="0" name="index-12_1.png" descr="index-12_1.png"/>
                    <pic:cNvPicPr/>
                  </pic:nvPicPr>
                  <pic:blipFill>
                    <a:blip r:embed="rId2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3" name="index-12_2.png" descr="index-12_2.png"/>
            <wp:cNvGraphicFramePr>
              <a:graphicFrameLocks noChangeAspect="1"/>
            </wp:cNvGraphicFramePr>
            <a:graphic>
              <a:graphicData uri="http://schemas.openxmlformats.org/drawingml/2006/picture">
                <pic:pic>
                  <pic:nvPicPr>
                    <pic:cNvPr id="0" name="index-12_2.png" descr="index-12_2.png"/>
                    <pic:cNvPicPr/>
                  </pic:nvPicPr>
                  <pic:blipFill>
                    <a:blip r:embed="rId27"/>
                    <a:stretch>
                      <a:fillRect/>
                    </a:stretch>
                  </pic:blipFill>
                  <pic:spPr>
                    <a:xfrm>
                      <a:off x="0" y="0"/>
                      <a:ext cx="914400" cy="444500"/>
                    </a:xfrm>
                    <a:prstGeom prst="rect">
                      <a:avLst/>
                    </a:prstGeom>
                  </pic:spPr>
                </pic:pic>
              </a:graphicData>
            </a:graphic>
          </wp:anchor>
        </w:drawing>
      </w:r>
    </w:p>
    <w:p>
      <w:bookmarkStart w:id="13" w:name="Copyright_Statement"/>
      <w:pPr>
        <w:pStyle w:val="Para 34"/>
      </w:pPr>
      <w:r>
        <w:t>Copyright Statement</w:t>
      </w:r>
      <w:bookmarkEnd w:id="13"/>
    </w:p>
    <w:p>
      <w:pPr>
        <w:pStyle w:val="Para 25"/>
      </w:pPr>
      <w:r>
        <w:t/>
      </w:r>
    </w:p>
    <w:p>
      <w:pPr>
        <w:pStyle w:val="Para 42"/>
      </w:pPr>
      <w:r>
        <w:t xml:space="preserve">Copyright Statement </w:t>
      </w:r>
    </w:p>
    <w:p>
      <w:pPr>
        <w:pStyle w:val="Para 11"/>
      </w:pPr>
      <w:r>
        <w:t xml:space="preserve">© 2006 Realtimepublishers.com, Inc. All rights reserved. This site contains materials that </w:t>
        <w:t xml:space="preserve">have been created, developed, or commissioned by, and published with the permission </w:t>
        <w:t xml:space="preserve">of, Realtimepublishers.com, Inc. (the “Materials”) and this site and any such Materials are </w:t>
        <w:t xml:space="preserve">protected by international copyright and trademark laws. </w:t>
      </w:r>
    </w:p>
    <w:p>
      <w:pPr>
        <w:pStyle w:val="Para 11"/>
      </w:pPr>
      <w:r>
        <w:t xml:space="preserve">THE MATERIALS ARE PROVIDED “AS IS” WITHOUT WARRANTY OF ANY KIND, </w:t>
        <w:t xml:space="preserve">EITHER EXPRESS OR IMPLIED, INCLUDING BUT NOT LIMITED TO, THE IMPLIED </w:t>
        <w:t xml:space="preserve">WARRANTIES OF MERCHANTABILITY, FITNESS FOR A PARTICULAR PURPOSE, </w:t>
        <w:t xml:space="preserve">TITLE AND NON-INFRINGEMENT. The Materials are subject to change without notice </w:t>
        <w:t xml:space="preserve">and do not represent a commitment on the part of Realtimepublishers.com, Inc or its web </w:t>
        <w:t xml:space="preserve">site sponsors. In no event shall Realtimepublishers.com, Inc. or its web site sponsors be </w:t>
        <w:t xml:space="preserve">held liable for technical or editorial errors or omissions contained in the Materials, </w:t>
        <w:t xml:space="preserve">including without limitation, for any direct, indirect, incidental, special, exemplary or </w:t>
        <w:t xml:space="preserve">consequential damages whatsoever resulting from the use of any information contained </w:t>
        <w:t xml:space="preserve">in the Materials. </w:t>
      </w:r>
    </w:p>
    <w:p>
      <w:pPr>
        <w:pStyle w:val="Para 11"/>
      </w:pPr>
      <w:r>
        <w:t xml:space="preserve">The Materials (including but not limited to the text, images, audio, and/or video) may not </w:t>
        <w:t xml:space="preserve">be copied, reproduced, republished, uploaded, posted, transmitted, or distributed in any </w:t>
        <w:t>way, in whole or in part, except that one copy may be downloaded for your personal, non-</w:t>
        <w:t xml:space="preserve">commercial use on a single computer. In connection with such use, you may not modify </w:t>
        <w:t xml:space="preserve">or obscure any copyright or other proprietary notice. </w:t>
      </w:r>
    </w:p>
    <w:p>
      <w:pPr>
        <w:pStyle w:val="Para 11"/>
      </w:pPr>
      <w:r>
        <w:t xml:space="preserve">The Materials may contain trademarks, services marks and logos that are the property of </w:t>
        <w:t xml:space="preserve">third parties. You are not permitted to use these trademarks, services marks or logos </w:t>
        <w:t xml:space="preserve">without prior written consent of such third parties. </w:t>
      </w:r>
    </w:p>
    <w:p>
      <w:pPr>
        <w:pStyle w:val="Para 11"/>
      </w:pPr>
      <w:r>
        <w:t xml:space="preserve">Realtimepublishers.com and the Realtimepublishers logo are registered in the US Patent </w:t>
        <w:t xml:space="preserve">&amp; Trademark Office. All other product or service names are the property of their </w:t>
        <w:t xml:space="preserve">respective owners. </w:t>
      </w:r>
    </w:p>
    <w:p>
      <w:pPr>
        <w:pStyle w:val="Para 11"/>
      </w:pPr>
      <w:r>
        <w:t xml:space="preserve">If you have any questions about these terms, or if you would like information about </w:t>
        <w:t xml:space="preserve">licensing materials from Realtimepublishers.com, please contact us via e-mail at </w:t>
        <w:t xml:space="preserve">info@realtimepublishers.com.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4" name="index-13_1.png" descr="index-13_1.png"/>
            <wp:cNvGraphicFramePr>
              <a:graphicFrameLocks noChangeAspect="1"/>
            </wp:cNvGraphicFramePr>
            <a:graphic>
              <a:graphicData uri="http://schemas.openxmlformats.org/drawingml/2006/picture">
                <pic:pic>
                  <pic:nvPicPr>
                    <pic:cNvPr id="0" name="index-13_1.png" descr="index-13_1.png"/>
                    <pic:cNvPicPr/>
                  </pic:nvPicPr>
                  <pic:blipFill>
                    <a:blip r:embed="rId2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5" name="index-13_2.png" descr="index-13_2.png"/>
            <wp:cNvGraphicFramePr>
              <a:graphicFrameLocks noChangeAspect="1"/>
            </wp:cNvGraphicFramePr>
            <a:graphic>
              <a:graphicData uri="http://schemas.openxmlformats.org/drawingml/2006/picture">
                <pic:pic>
                  <pic:nvPicPr>
                    <pic:cNvPr id="0" name="index-13_2.png" descr="index-13_2.png"/>
                    <pic:cNvPicPr/>
                  </pic:nvPicPr>
                  <pic:blipFill>
                    <a:blip r:embed="rId29"/>
                    <a:stretch>
                      <a:fillRect/>
                    </a:stretch>
                  </pic:blipFill>
                  <pic:spPr>
                    <a:xfrm>
                      <a:off x="0" y="0"/>
                      <a:ext cx="914400" cy="444500"/>
                    </a:xfrm>
                    <a:prstGeom prst="rect">
                      <a:avLst/>
                    </a:prstGeom>
                  </pic:spPr>
                </pic:pic>
              </a:graphicData>
            </a:graphic>
          </wp:anchor>
        </w:drawing>
      </w:r>
    </w:p>
    <w:p>
      <w:pPr>
        <w:pStyle w:val="0 Block"/>
      </w:pPr>
    </w:p>
    <w:p>
      <w:bookmarkStart w:id="14" w:name="Chapter_1"/>
      <w:pPr>
        <w:pStyle w:val="Heading 1"/>
        <w:pageBreakBefore w:val="on"/>
      </w:pPr>
      <w:r>
        <w:t>Chapter 1</w:t>
      </w:r>
      <w:bookmarkEnd w:id="14"/>
    </w:p>
    <w:p>
      <w:pPr>
        <w:pStyle w:val="Para 25"/>
      </w:pPr>
      <w:r>
        <w:t/>
      </w:r>
    </w:p>
    <w:p>
      <w:pPr>
        <w:pStyle w:val="0 Block"/>
      </w:pPr>
    </w:p>
    <w:p>
      <w:bookmarkStart w:id="15" w:name="Chapter_1__Desktop_Administratio"/>
      <w:pPr>
        <w:pStyle w:val="Para 23"/>
        <w:pageBreakBefore w:val="on"/>
      </w:pPr>
      <w:r>
        <w:t xml:space="preserve">Chapter 1: Desktop Administration Overview </w:t>
      </w:r>
      <w:bookmarkEnd w:id="15"/>
    </w:p>
    <w:p>
      <w:pPr>
        <w:pStyle w:val="Para 25"/>
      </w:pPr>
      <w:r>
        <w:t/>
      </w:r>
    </w:p>
    <w:p>
      <w:pPr>
        <w:pStyle w:val="Normal"/>
      </w:pPr>
      <w:r>
        <w:t xml:space="preserve">The latest computers, the fastest network, and the best-rated software can quickly turn from a </w:t>
      </w:r>
    </w:p>
    <w:p>
      <w:pPr>
        <w:pStyle w:val="Normal"/>
      </w:pPr>
      <w:r>
        <w:t xml:space="preserve">good investment into a money pit without proper planning and implementation of desktop </w:t>
      </w:r>
    </w:p>
    <w:p>
      <w:pPr>
        <w:pStyle w:val="Normal"/>
      </w:pPr>
      <w:r>
        <w:t xml:space="preserve">administration practices. So what is desktop administration? As you’ll discover in this book, desktop administration is the methods and technologies used to deploy, configure, maintain, and </w:t>
      </w:r>
    </w:p>
    <w:p>
      <w:pPr>
        <w:pStyle w:val="Normal"/>
      </w:pPr>
      <w:r>
        <w:t xml:space="preserve">track client workstations. It encompasses system deployment, user settings and data </w:t>
      </w:r>
    </w:p>
    <w:p>
      <w:pPr>
        <w:pStyle w:val="Normal"/>
      </w:pPr>
      <w:r>
        <w:t xml:space="preserve">management, application management, security, support, and asset management. How you </w:t>
      </w:r>
    </w:p>
    <w:p>
      <w:pPr>
        <w:pStyle w:val="Normal"/>
      </w:pPr>
      <w:r>
        <w:t xml:space="preserve">handle these critical facets determines the success of your workstation support. From a small office of 10 machines to a worldwide network consisting of tens of thousands of systems, the </w:t>
      </w:r>
    </w:p>
    <w:p>
      <w:pPr>
        <w:pStyle w:val="Normal"/>
      </w:pPr>
      <w:r>
        <w:t xml:space="preserve">desktop administrator must address the same issues. </w:t>
      </w:r>
    </w:p>
    <w:p>
      <w:pPr>
        <w:pStyle w:val="Para 25"/>
      </w:pPr>
      <w:r>
        <w:t/>
      </w:r>
    </w:p>
    <w:p>
      <w:pPr>
        <w:pStyle w:val="Normal"/>
      </w:pPr>
      <w:r>
        <w:t xml:space="preserve">GartnerGroup studies have found that 82 percent of implemented management systems fail to meet user expectations. The reason is that the expectations of the solutions on the market are </w:t>
      </w:r>
    </w:p>
    <w:p>
      <w:pPr>
        <w:pStyle w:val="Normal"/>
      </w:pPr>
      <w:r>
        <w:t xml:space="preserve">often simply unrealistic. There are no point-and-click solutions to deploying new systems or </w:t>
      </w:r>
    </w:p>
    <w:p>
      <w:pPr>
        <w:pStyle w:val="Normal"/>
      </w:pPr>
      <w:r>
        <w:t xml:space="preserve">applications. There is no way of automatically backing up and managing user settings and data. Access to reports showing just the asset management, software inventory, or usage metrics you </w:t>
      </w:r>
    </w:p>
    <w:p>
      <w:pPr>
        <w:pStyle w:val="Normal"/>
      </w:pPr>
      <w:r>
        <w:t xml:space="preserve">want to see isn’t going to be displayed on your screen. You won’t meet any of these mission </w:t>
      </w:r>
    </w:p>
    <w:p>
      <w:pPr>
        <w:pStyle w:val="Normal"/>
      </w:pPr>
      <w:r>
        <w:t xml:space="preserve">critical needs </w:t>
      </w:r>
      <w:r>
        <w:rPr>
          <w:rStyle w:val="Text0"/>
        </w:rPr>
        <w:t>unless</w:t>
      </w:r>
      <w:r>
        <w:t xml:space="preserve"> time is taken to identify, plan, evaluate, test, and implement the right </w:t>
      </w:r>
    </w:p>
    <w:p>
      <w:pPr>
        <w:pStyle w:val="Normal"/>
      </w:pPr>
      <w:r>
        <w:t xml:space="preserve">desktop administration solutions for your organization. As if meeting these mission-critical needs isn’t motivation enough, let’s delve into additional benefits of desktop administration. </w:t>
      </w:r>
    </w:p>
    <w:p>
      <w:pPr>
        <w:pStyle w:val="Para 25"/>
      </w:pPr>
      <w:r>
        <w:t/>
      </w:r>
    </w:p>
    <w:p>
      <w:pPr>
        <w:pStyle w:val="Para 02"/>
      </w:pPr>
      <w:r>
        <w:t xml:space="preserve">Keep in mind that implementing desktop administration solutions don’t necessarily require new </w:t>
      </w:r>
    </w:p>
    <w:p>
      <w:pPr>
        <w:pStyle w:val="Para 02"/>
      </w:pPr>
      <w:r>
        <w:t xml:space="preserve">software purchases. You can take advantage of a number of solutions built-in to Windows and the </w:t>
      </w:r>
    </w:p>
    <w:p>
      <w:pPr>
        <w:pStyle w:val="Para 02"/>
      </w:pPr>
      <w:r>
        <w:t xml:space="preserve">resource kits. Although, commercially available solutions are often easier to work with and provide </w:t>
      </w:r>
    </w:p>
    <w:p>
      <w:pPr>
        <w:pStyle w:val="Para 02"/>
      </w:pPr>
      <w:r>
        <w:t xml:space="preserve">more robust feature sets, if your needs are basic, built-in tools and scripts might result in the right </w:t>
      </w:r>
    </w:p>
    <w:p>
      <w:pPr>
        <w:pStyle w:val="Para 02"/>
      </w:pPr>
      <w:r>
        <w:t xml:space="preserve">solution for you. </w:t>
      </w:r>
    </w:p>
    <w:p>
      <w:pPr>
        <w:pStyle w:val="Para 25"/>
      </w:pPr>
      <w:r>
        <w:t/>
      </w:r>
    </w:p>
    <w:p>
      <w:pPr>
        <w:pStyle w:val="Para 12"/>
      </w:pPr>
      <w:r>
        <w:t xml:space="preserve">The Benefits of Desktop Administration </w:t>
      </w:r>
    </w:p>
    <w:p>
      <w:pPr>
        <w:pStyle w:val="Para 25"/>
      </w:pPr>
      <w:r>
        <w:t/>
      </w:r>
    </w:p>
    <w:p>
      <w:pPr>
        <w:pStyle w:val="Normal"/>
      </w:pPr>
      <w:r>
        <w:t xml:space="preserve">The potential rewards for implementing sound desktop administration practices can be great. Although we will cover the details of several critical areas of desktop administration throughout </w:t>
      </w:r>
    </w:p>
    <w:p>
      <w:pPr>
        <w:pStyle w:val="Normal"/>
      </w:pPr>
      <w:r>
        <w:t xml:space="preserve">this book, the following benefits are common to all of these desktop administration components: </w:t>
      </w:r>
    </w:p>
    <w:p>
      <w:pPr>
        <w:pStyle w:val="Normal"/>
      </w:pPr>
      <w:r>
        <w:t xml:space="preserve">a lower total cost of ownership (TCO), increased user productivity, and rapid and accurate system recovery. </w:t>
      </w:r>
    </w:p>
    <w:p>
      <w:pPr>
        <w:pStyle w:val="Para 25"/>
      </w:pPr>
      <w:r>
        <w:t/>
      </w:r>
    </w:p>
    <w:p>
      <w:pPr>
        <w:pStyle w:val="Para 07"/>
      </w:pPr>
      <w:r>
        <w:t xml:space="preserve">Lower Cost of Ownership </w:t>
      </w:r>
    </w:p>
    <w:p>
      <w:pPr>
        <w:pStyle w:val="Normal"/>
      </w:pPr>
      <w:r>
        <w:t xml:space="preserve">The most significant benefit of desktop administration is the potential for reduced TCO. As the </w:t>
      </w:r>
    </w:p>
    <w:p>
      <w:pPr>
        <w:pStyle w:val="Normal"/>
      </w:pPr>
      <w:r>
        <w:t xml:space="preserve">following list illustrates, there are many ways to measure the costs that may be saved by </w:t>
      </w:r>
    </w:p>
    <w:p>
      <w:pPr>
        <w:pStyle w:val="Normal"/>
      </w:pPr>
      <w:r>
        <w:t xml:space="preserve">following desktop administration best practices.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6" name="index-14_1.png" descr="index-14_1.png"/>
            <wp:cNvGraphicFramePr>
              <a:graphicFrameLocks noChangeAspect="1"/>
            </wp:cNvGraphicFramePr>
            <a:graphic>
              <a:graphicData uri="http://schemas.openxmlformats.org/drawingml/2006/picture">
                <pic:pic>
                  <pic:nvPicPr>
                    <pic:cNvPr id="0" name="index-14_1.png" descr="index-14_1.png"/>
                    <pic:cNvPicPr/>
                  </pic:nvPicPr>
                  <pic:blipFill>
                    <a:blip r:embed="rId3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7" name="index-14_2.png" descr="index-14_2.png"/>
            <wp:cNvGraphicFramePr>
              <a:graphicFrameLocks noChangeAspect="1"/>
            </wp:cNvGraphicFramePr>
            <a:graphic>
              <a:graphicData uri="http://schemas.openxmlformats.org/drawingml/2006/picture">
                <pic:pic>
                  <pic:nvPicPr>
                    <pic:cNvPr id="0" name="index-14_2.png" descr="index-14_2.png"/>
                    <pic:cNvPicPr/>
                  </pic:nvPicPr>
                  <pic:blipFill>
                    <a:blip r:embed="rId31"/>
                    <a:stretch>
                      <a:fillRect/>
                    </a:stretch>
                  </pic:blipFill>
                  <pic:spPr>
                    <a:xfrm>
                      <a:off x="0" y="0"/>
                      <a:ext cx="914400" cy="444500"/>
                    </a:xfrm>
                    <a:prstGeom prst="rect">
                      <a:avLst/>
                    </a:prstGeom>
                  </pic:spPr>
                </pic:pic>
              </a:graphicData>
            </a:graphic>
          </wp:anchor>
        </w:drawing>
      </w:r>
    </w:p>
    <w:p>
      <w:pPr>
        <w:pStyle w:val="0 Block"/>
      </w:pPr>
    </w:p>
    <w:p>
      <w:bookmarkStart w:id="16" w:name="Chapter_1_1"/>
      <w:pPr>
        <w:pStyle w:val="Heading 1"/>
        <w:pageBreakBefore w:val="on"/>
      </w:pPr>
      <w:r>
        <w:t>Chapter 1</w:t>
      </w:r>
      <w:bookmarkEnd w:id="16"/>
    </w:p>
    <w:p>
      <w:pPr>
        <w:pStyle w:val="Para 25"/>
      </w:pPr>
      <w:r>
        <w:t/>
      </w:r>
    </w:p>
    <w:p>
      <w:pPr>
        <w:pStyle w:val="Para 04"/>
      </w:pPr>
      <w:r>
        <w:t xml:space="preserve">• </w:t>
        <w:t xml:space="preserve">Increase support staff efficiency—For example, suppose that a hard drive in accounting </w:t>
      </w:r>
    </w:p>
    <w:p>
      <w:pPr>
        <w:pStyle w:val="Para 01"/>
      </w:pPr>
      <w:r>
        <w:t xml:space="preserve">just crashed. A user can no longer log on to the system after installing a new screen saver. </w:t>
      </w:r>
    </w:p>
    <w:p>
      <w:pPr>
        <w:pStyle w:val="Para 01"/>
      </w:pPr>
      <w:r>
        <w:t xml:space="preserve">It could be a very long day for the administrator who must address these kinds of </w:t>
      </w:r>
    </w:p>
    <w:p>
      <w:pPr>
        <w:pStyle w:val="Para 01"/>
      </w:pPr>
      <w:r>
        <w:t xml:space="preserve">problems—even a long week. However, with the help of an automated deployment solution, a machine could be rebuilt in minutes. In addition, policy and security </w:t>
      </w:r>
    </w:p>
    <w:p>
      <w:pPr>
        <w:pStyle w:val="Para 01"/>
      </w:pPr>
      <w:r>
        <w:t xml:space="preserve">restrictions could have prevented the user from breaking the workstation in the first place. </w:t>
      </w:r>
    </w:p>
    <w:p>
      <w:pPr>
        <w:pStyle w:val="Para 01"/>
      </w:pPr>
      <w:r>
        <w:t xml:space="preserve">With the right tools and skills, a support staff may solve (and hopefully prevent) far more problems than they could without them. A quickly solved, or prevented, support issue </w:t>
      </w:r>
    </w:p>
    <w:p>
      <w:pPr>
        <w:pStyle w:val="Para 01"/>
      </w:pPr>
      <w:r>
        <w:t xml:space="preserve">benefits both the support staff (who can move onto something else) and the end user </w:t>
      </w:r>
    </w:p>
    <w:p>
      <w:pPr>
        <w:pStyle w:val="Para 01"/>
      </w:pPr>
      <w:r>
        <w:t xml:space="preserve">(who can get back to work). </w:t>
      </w:r>
    </w:p>
    <w:p>
      <w:pPr>
        <w:pStyle w:val="Para 25"/>
      </w:pPr>
      <w:r>
        <w:t/>
      </w:r>
    </w:p>
    <w:p>
      <w:pPr>
        <w:pStyle w:val="Para 04"/>
      </w:pPr>
      <w:r>
        <w:t xml:space="preserve">• </w:t>
        <w:t xml:space="preserve">Reduce Help desk costs—The ability to visually demonstrate a solution to a user can save </w:t>
      </w:r>
    </w:p>
    <w:p>
      <w:pPr>
        <w:pStyle w:val="Para 01"/>
      </w:pPr>
      <w:r>
        <w:t xml:space="preserve">the time it takes for you to explain how to perform a task over the phone, or worse, to </w:t>
      </w:r>
    </w:p>
    <w:p>
      <w:pPr>
        <w:pStyle w:val="Para 01"/>
      </w:pPr>
      <w:r>
        <w:t xml:space="preserve">take a trip to a remote office. A remote control solution provides this ability and is among </w:t>
      </w:r>
    </w:p>
    <w:p>
      <w:pPr>
        <w:pStyle w:val="Para 01"/>
      </w:pPr>
      <w:r>
        <w:t xml:space="preserve">the most common desktop administration tools implemented. For example, many </w:t>
      </w:r>
    </w:p>
    <w:p>
      <w:pPr>
        <w:pStyle w:val="Para 01"/>
      </w:pPr>
      <w:r>
        <w:t xml:space="preserve">organizations have implemented Microsoft’s Systems Management Server (SMS) as a Help desk tool to make use of its remote control abilities. </w:t>
      </w:r>
    </w:p>
    <w:p>
      <w:pPr>
        <w:pStyle w:val="Para 25"/>
      </w:pPr>
      <w:r>
        <w:t/>
      </w:r>
    </w:p>
    <w:p>
      <w:pPr>
        <w:pStyle w:val="Para 04"/>
      </w:pPr>
      <w:r>
        <w:t xml:space="preserve">• Increase support staff productivity—As you probably know, installing Windows, </w:t>
      </w:r>
    </w:p>
    <w:p>
      <w:pPr>
        <w:pStyle w:val="Para 01"/>
      </w:pPr>
      <w:r>
        <w:t xml:space="preserve">applications, and software updates across a large base of systems is tedious work. The </w:t>
      </w:r>
    </w:p>
    <w:p>
      <w:pPr>
        <w:pStyle w:val="Para 01"/>
      </w:pPr>
      <w:r>
        <w:t xml:space="preserve">time taken to visit each system and deal with user inquiries can greatly reduce the amount of work a support staff will be able to accomplish. By implementing desktop </w:t>
      </w:r>
    </w:p>
    <w:p>
      <w:pPr>
        <w:pStyle w:val="Para 01"/>
      </w:pPr>
      <w:r>
        <w:t xml:space="preserve">administration practices, tools or scripts may be utilized to greatly increase support staff </w:t>
      </w:r>
    </w:p>
    <w:p>
      <w:pPr>
        <w:pStyle w:val="Para 01"/>
      </w:pPr>
      <w:r>
        <w:t xml:space="preserve">productivity. </w:t>
      </w:r>
    </w:p>
    <w:p>
      <w:pPr>
        <w:pStyle w:val="Para 25"/>
      </w:pPr>
      <w:r>
        <w:t/>
      </w:r>
    </w:p>
    <w:p>
      <w:pPr>
        <w:pStyle w:val="Para 04"/>
      </w:pPr>
      <w:r>
        <w:t xml:space="preserve">• Optimize software license requirements—Many inventory and metering software </w:t>
      </w:r>
    </w:p>
    <w:p>
      <w:pPr>
        <w:pStyle w:val="Para 01"/>
      </w:pPr>
      <w:r>
        <w:t xml:space="preserve">products provide a means of collecting statistics on application usage. This provides the </w:t>
      </w:r>
    </w:p>
    <w:p>
      <w:pPr>
        <w:pStyle w:val="Para 01"/>
      </w:pPr>
      <w:r>
        <w:t xml:space="preserve">ability to purchase only the updates that are needed, and to move licenses from those not </w:t>
      </w:r>
    </w:p>
    <w:p>
      <w:pPr>
        <w:pStyle w:val="Para 01"/>
      </w:pPr>
      <w:r>
        <w:t xml:space="preserve">utilizing them to those that need them rather than simply purchasing more licenses. </w:t>
      </w:r>
    </w:p>
    <w:p>
      <w:pPr>
        <w:pStyle w:val="Para 25"/>
      </w:pPr>
      <w:r>
        <w:t/>
      </w:r>
    </w:p>
    <w:p>
      <w:pPr>
        <w:pStyle w:val="Para 04"/>
      </w:pPr>
      <w:r>
        <w:t xml:space="preserve">• Automate inventory to prevent failed deployments—Which systems fall below your </w:t>
      </w:r>
    </w:p>
    <w:p>
      <w:pPr>
        <w:pStyle w:val="Para 01"/>
      </w:pPr>
      <w:r>
        <w:t xml:space="preserve">standard configuration? Which systems do not meet the requirements for a software or operating system (OS) upgrade? A detailed hardware inventory can save you from </w:t>
      </w:r>
    </w:p>
    <w:p>
      <w:pPr>
        <w:pStyle w:val="Para 01"/>
      </w:pPr>
      <w:r>
        <w:t xml:space="preserve">doomed software and OS deployments that result from mistakenly targeting systems that </w:t>
      </w:r>
    </w:p>
    <w:p>
      <w:pPr>
        <w:pStyle w:val="Para 01"/>
      </w:pPr>
      <w:r>
        <w:t xml:space="preserve">do not meet the minimum requirements.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8" name="index-15_1.png" descr="index-15_1.png"/>
            <wp:cNvGraphicFramePr>
              <a:graphicFrameLocks noChangeAspect="1"/>
            </wp:cNvGraphicFramePr>
            <a:graphic>
              <a:graphicData uri="http://schemas.openxmlformats.org/drawingml/2006/picture">
                <pic:pic>
                  <pic:nvPicPr>
                    <pic:cNvPr id="0" name="index-15_1.png" descr="index-15_1.png"/>
                    <pic:cNvPicPr/>
                  </pic:nvPicPr>
                  <pic:blipFill>
                    <a:blip r:embed="rId3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9" name="index-15_2.png" descr="index-15_2.png"/>
            <wp:cNvGraphicFramePr>
              <a:graphicFrameLocks noChangeAspect="1"/>
            </wp:cNvGraphicFramePr>
            <a:graphic>
              <a:graphicData uri="http://schemas.openxmlformats.org/drawingml/2006/picture">
                <pic:pic>
                  <pic:nvPicPr>
                    <pic:cNvPr id="0" name="index-15_2.png" descr="index-15_2.png"/>
                    <pic:cNvPicPr/>
                  </pic:nvPicPr>
                  <pic:blipFill>
                    <a:blip r:embed="rId33"/>
                    <a:stretch>
                      <a:fillRect/>
                    </a:stretch>
                  </pic:blipFill>
                  <pic:spPr>
                    <a:xfrm>
                      <a:off x="0" y="0"/>
                      <a:ext cx="914400" cy="444500"/>
                    </a:xfrm>
                    <a:prstGeom prst="rect">
                      <a:avLst/>
                    </a:prstGeom>
                  </pic:spPr>
                </pic:pic>
              </a:graphicData>
            </a:graphic>
          </wp:anchor>
        </w:drawing>
      </w:r>
    </w:p>
    <w:p>
      <w:pPr>
        <w:pStyle w:val="0 Block"/>
      </w:pPr>
    </w:p>
    <w:p>
      <w:bookmarkStart w:id="17" w:name="Chapter_1_2"/>
      <w:pPr>
        <w:pStyle w:val="Heading 1"/>
        <w:pageBreakBefore w:val="on"/>
      </w:pPr>
      <w:r>
        <w:t>Chapter 1</w:t>
      </w:r>
      <w:bookmarkEnd w:id="17"/>
    </w:p>
    <w:p>
      <w:pPr>
        <w:pStyle w:val="Para 25"/>
      </w:pPr>
      <w:r>
        <w:t/>
      </w:r>
    </w:p>
    <w:p>
      <w:pPr>
        <w:pStyle w:val="Para 07"/>
      </w:pPr>
      <w:r>
        <w:t xml:space="preserve">Increased User Productivity </w:t>
      </w:r>
    </w:p>
    <w:p>
      <w:pPr>
        <w:pStyle w:val="Normal"/>
      </w:pPr>
      <w:r>
        <w:t xml:space="preserve">Whether attempting to handle an issue themselves or waiting while you do it for them, users that </w:t>
      </w:r>
    </w:p>
    <w:p>
      <w:pPr>
        <w:pStyle w:val="Normal"/>
      </w:pPr>
      <w:r>
        <w:t xml:space="preserve">aren’t doing their work as a result of an IT concern cost the company. Although seemingly </w:t>
      </w:r>
    </w:p>
    <w:p>
      <w:pPr>
        <w:pStyle w:val="Normal"/>
      </w:pPr>
      <w:r>
        <w:t xml:space="preserve">insignificant on an individual basis, the following scenarios occur often enough that they can </w:t>
      </w:r>
    </w:p>
    <w:p>
      <w:pPr>
        <w:pStyle w:val="Normal"/>
      </w:pPr>
      <w:r>
        <w:t xml:space="preserve">affect a companies’ bottom line. Solid desktop administration practices can prevent such situations, thus increasing user productivity. </w:t>
      </w:r>
    </w:p>
    <w:p>
      <w:pPr>
        <w:pStyle w:val="Para 25"/>
      </w:pPr>
      <w:r>
        <w:t/>
      </w:r>
    </w:p>
    <w:p>
      <w:pPr>
        <w:pStyle w:val="Normal"/>
      </w:pPr>
      <w:r>
        <w:t xml:space="preserve">Having users stand aside while updates and fixes are applied can be a frustrating inconvenience </w:t>
      </w:r>
    </w:p>
    <w:p>
      <w:pPr>
        <w:pStyle w:val="Normal"/>
      </w:pPr>
      <w:r>
        <w:t xml:space="preserve">for those users and, more important, cost the company money. Without fail, an unexpected situation occurs and the half hour the user was going to have to wait quickly doubles. </w:t>
      </w:r>
    </w:p>
    <w:p>
      <w:pPr>
        <w:pStyle w:val="Normal"/>
      </w:pPr>
      <w:r>
        <w:t xml:space="preserve">Automation of update and fix installations as well as proper testing of the automated installations </w:t>
      </w:r>
    </w:p>
    <w:p>
      <w:pPr>
        <w:pStyle w:val="Normal"/>
      </w:pPr>
      <w:r>
        <w:t xml:space="preserve">significantly reduces the likelihood of unexpected problems and ensures that users return to productivity quickly. </w:t>
      </w:r>
    </w:p>
    <w:p>
      <w:pPr>
        <w:pStyle w:val="Para 25"/>
      </w:pPr>
      <w:r>
        <w:t/>
      </w:r>
    </w:p>
    <w:p>
      <w:pPr>
        <w:pStyle w:val="Normal"/>
      </w:pPr>
      <w:r>
        <w:t xml:space="preserve">In addition, solid desktop administration practices eliminate situations in which users handle </w:t>
      </w:r>
    </w:p>
    <w:p>
      <w:pPr>
        <w:pStyle w:val="Normal"/>
      </w:pPr>
      <w:r>
        <w:t xml:space="preserve">installations on their machines. Such situations can result in problems because users don’t </w:t>
      </w:r>
    </w:p>
    <w:p>
      <w:pPr>
        <w:pStyle w:val="Normal"/>
      </w:pPr>
      <w:r>
        <w:t xml:space="preserve">correctly perform the installation. Rather than taking time away from their “real” work by messing with their systems, users can benefit from desktop administration that efficiently </w:t>
      </w:r>
    </w:p>
    <w:p>
      <w:pPr>
        <w:pStyle w:val="Normal"/>
      </w:pPr>
      <w:r>
        <w:t xml:space="preserve">handles IT administrative tasks such as installing updates and fixes. </w:t>
      </w:r>
    </w:p>
    <w:p>
      <w:pPr>
        <w:pStyle w:val="Para 25"/>
      </w:pPr>
      <w:r>
        <w:t/>
      </w:r>
    </w:p>
    <w:p>
      <w:pPr>
        <w:pStyle w:val="Para 02"/>
      </w:pPr>
      <w:r>
        <w:t xml:space="preserve">Having users handle installations puts an undue demand on them and can have unpredictable results </w:t>
      </w:r>
    </w:p>
    <w:p>
      <w:pPr>
        <w:pStyle w:val="Para 02"/>
      </w:pPr>
      <w:r>
        <w:t xml:space="preserve">due to the varying degrees of technical aptitude users will possess. This situation will be frustrating to </w:t>
      </w:r>
    </w:p>
    <w:p>
      <w:pPr>
        <w:pStyle w:val="Para 02"/>
      </w:pPr>
      <w:r>
        <w:t xml:space="preserve">the end user as well as to management because of the inconsistent results and higher support costs. </w:t>
      </w:r>
    </w:p>
    <w:p>
      <w:pPr>
        <w:pStyle w:val="Para 25"/>
      </w:pPr>
      <w:r>
        <w:t/>
      </w:r>
    </w:p>
    <w:p>
      <w:pPr>
        <w:pStyle w:val="Normal"/>
      </w:pPr>
      <w:r>
        <w:t xml:space="preserve">Unfortunately, users who encounter a problem or are unable to perform a task are very likely to ask the people around them for help before calling the Help desk. Involving the users around </w:t>
      </w:r>
    </w:p>
    <w:p>
      <w:pPr>
        <w:pStyle w:val="Normal"/>
      </w:pPr>
      <w:r>
        <w:t xml:space="preserve">them in solving system problems causes even more productivity to be lost. Enforcement of </w:t>
      </w:r>
    </w:p>
    <w:p>
      <w:pPr>
        <w:pStyle w:val="Normal"/>
      </w:pPr>
      <w:r>
        <w:t xml:space="preserve">configuration management through a consistent Windows installation (that is, installation of tested software installation packages) and limiting a users’ ability to cause problems will reduce </w:t>
      </w:r>
    </w:p>
    <w:p>
      <w:pPr>
        <w:pStyle w:val="Normal"/>
      </w:pPr>
      <w:r>
        <w:t xml:space="preserve">the number of problems a user experiences and thus increase productivity. </w:t>
      </w:r>
    </w:p>
    <w:p>
      <w:pPr>
        <w:pStyle w:val="Para 25"/>
      </w:pPr>
      <w:r>
        <w:t/>
      </w:r>
    </w:p>
    <w:p>
      <w:pPr>
        <w:pStyle w:val="Normal"/>
      </w:pPr>
      <w:r>
        <w:t xml:space="preserve">As a technical individual, you might find it ridiculous that a user would want to hold onto an </w:t>
      </w:r>
    </w:p>
    <w:p>
      <w:pPr>
        <w:pStyle w:val="Normal"/>
      </w:pPr>
      <w:r>
        <w:t xml:space="preserve">older, slower system. When faced with the option to replace their system, many users would rather stick with what they have than spend hours or days getting everything back to how they </w:t>
      </w:r>
    </w:p>
    <w:p>
      <w:pPr>
        <w:pStyle w:val="Normal"/>
      </w:pPr>
      <w:r>
        <w:t xml:space="preserve">like it. Items such as wallpaper, color selections, and screen savers will be of great concern to </w:t>
      </w:r>
    </w:p>
    <w:p>
      <w:pPr>
        <w:pStyle w:val="Normal"/>
      </w:pPr>
      <w:r>
        <w:t xml:space="preserve">many who will spend as much time as it takes—time that could be spent productively—to get their new system to look just like their old system. Thus, a script or tool to backup and migrate </w:t>
      </w:r>
    </w:p>
    <w:p>
      <w:pPr>
        <w:pStyle w:val="Normal"/>
      </w:pPr>
      <w:r>
        <w:t xml:space="preserve">user data and settings can save the average user hours. </w:t>
      </w:r>
    </w:p>
    <w:p>
      <w:pPr>
        <w:pStyle w:val="Para 25"/>
      </w:pPr>
      <w:r>
        <w:t/>
      </w:r>
    </w:p>
    <w:p>
      <w:pPr>
        <w:pStyle w:val="Normal"/>
      </w:pPr>
      <w:r>
        <w:t xml:space="preserve">Finally, you can ensure that business computers perform only business functions through proper configuration and security management. The installation of unauthorized software and use of the </w:t>
      </w:r>
    </w:p>
    <w:p>
      <w:pPr>
        <w:pStyle w:val="Normal"/>
      </w:pPr>
      <w:r>
        <w:t xml:space="preserve">games installed with Windows can be controlled through security restrictions and attention to </w:t>
      </w:r>
    </w:p>
    <w:p>
      <w:pPr>
        <w:pStyle w:val="Normal"/>
      </w:pPr>
      <w:r>
        <w:t xml:space="preserve">Windows configuration options.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0" name="index-16_1.png" descr="index-16_1.png"/>
            <wp:cNvGraphicFramePr>
              <a:graphicFrameLocks noChangeAspect="1"/>
            </wp:cNvGraphicFramePr>
            <a:graphic>
              <a:graphicData uri="http://schemas.openxmlformats.org/drawingml/2006/picture">
                <pic:pic>
                  <pic:nvPicPr>
                    <pic:cNvPr id="0" name="index-16_1.png" descr="index-16_1.png"/>
                    <pic:cNvPicPr/>
                  </pic:nvPicPr>
                  <pic:blipFill>
                    <a:blip r:embed="rId3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1" name="index-16_2.png" descr="index-16_2.png"/>
            <wp:cNvGraphicFramePr>
              <a:graphicFrameLocks noChangeAspect="1"/>
            </wp:cNvGraphicFramePr>
            <a:graphic>
              <a:graphicData uri="http://schemas.openxmlformats.org/drawingml/2006/picture">
                <pic:pic>
                  <pic:nvPicPr>
                    <pic:cNvPr id="0" name="index-16_2.png" descr="index-16_2.png"/>
                    <pic:cNvPicPr/>
                  </pic:nvPicPr>
                  <pic:blipFill>
                    <a:blip r:embed="rId35"/>
                    <a:stretch>
                      <a:fillRect/>
                    </a:stretch>
                  </pic:blipFill>
                  <pic:spPr>
                    <a:xfrm>
                      <a:off x="0" y="0"/>
                      <a:ext cx="914400" cy="444500"/>
                    </a:xfrm>
                    <a:prstGeom prst="rect">
                      <a:avLst/>
                    </a:prstGeom>
                  </pic:spPr>
                </pic:pic>
              </a:graphicData>
            </a:graphic>
          </wp:anchor>
        </w:drawing>
      </w:r>
    </w:p>
    <w:p>
      <w:pPr>
        <w:pStyle w:val="0 Block"/>
      </w:pPr>
    </w:p>
    <w:p>
      <w:bookmarkStart w:id="18" w:name="Chapter_1_3"/>
      <w:pPr>
        <w:pStyle w:val="Heading 1"/>
        <w:pageBreakBefore w:val="on"/>
      </w:pPr>
      <w:r>
        <w:t>Chapter 1</w:t>
      </w:r>
      <w:bookmarkEnd w:id="18"/>
    </w:p>
    <w:p>
      <w:pPr>
        <w:pStyle w:val="Para 25"/>
      </w:pPr>
      <w:r>
        <w:t/>
      </w:r>
    </w:p>
    <w:p>
      <w:pPr>
        <w:pStyle w:val="Para 07"/>
      </w:pPr>
      <w:r>
        <w:t xml:space="preserve">Rapid and Accurate System Recovery </w:t>
      </w:r>
    </w:p>
    <w:p>
      <w:pPr>
        <w:pStyle w:val="Normal"/>
      </w:pPr>
      <w:r>
        <w:t xml:space="preserve">Another benefit of desktop administration, automated and controlled system restores for systems </w:t>
      </w:r>
    </w:p>
    <w:p>
      <w:pPr>
        <w:pStyle w:val="Normal"/>
      </w:pPr>
      <w:r>
        <w:t xml:space="preserve">or user data can save lost work and greatly reduce down time when repairing or replacing a </w:t>
      </w:r>
    </w:p>
    <w:p>
      <w:pPr>
        <w:pStyle w:val="Normal"/>
      </w:pPr>
      <w:r>
        <w:t xml:space="preserve">computer. This desktop administration practice can be having an automated deployment process </w:t>
      </w:r>
    </w:p>
    <w:p>
      <w:pPr>
        <w:pStyle w:val="Normal"/>
      </w:pPr>
      <w:r>
        <w:t xml:space="preserve">in place, having a method for restoring the applications that were there previously, or a combination of the two. The more automated the process, the faster and the less prone to </w:t>
      </w:r>
    </w:p>
    <w:p>
      <w:pPr>
        <w:pStyle w:val="Normal"/>
      </w:pPr>
      <w:r>
        <w:t xml:space="preserve">inconsistencies it will be. </w:t>
      </w:r>
    </w:p>
    <w:p>
      <w:pPr>
        <w:pStyle w:val="Para 25"/>
      </w:pPr>
      <w:r>
        <w:t/>
      </w:r>
    </w:p>
    <w:p>
      <w:pPr>
        <w:pStyle w:val="Normal"/>
      </w:pPr>
      <w:r>
        <w:t xml:space="preserve">A system failure can mean extended down time and loss of data and settings in many environments. However, it does not need to be that way. Regular backups of user data and </w:t>
      </w:r>
    </w:p>
    <w:p>
      <w:pPr>
        <w:pStyle w:val="Normal"/>
      </w:pPr>
      <w:r>
        <w:t xml:space="preserve">settings coupled with the speed of drive imaging software can mean that users are back up and </w:t>
      </w:r>
    </w:p>
    <w:p>
      <w:pPr>
        <w:pStyle w:val="Normal"/>
      </w:pPr>
      <w:r>
        <w:t xml:space="preserve">running in minutes instead of hours or days. This process may be further engineered to automate the application of a drive image from a network management console. Taking this concept even </w:t>
      </w:r>
    </w:p>
    <w:p>
      <w:pPr>
        <w:pStyle w:val="Normal"/>
      </w:pPr>
      <w:r>
        <w:t xml:space="preserve">further, you may hide a copy of the drive image on a local hard drive partition. In this way, the </w:t>
      </w:r>
    </w:p>
    <w:p>
      <w:pPr>
        <w:pStyle w:val="Normal"/>
      </w:pPr>
      <w:r>
        <w:t xml:space="preserve">image may be instantly available without need for a lengthy network download. </w:t>
      </w:r>
    </w:p>
    <w:p>
      <w:pPr>
        <w:pStyle w:val="Para 25"/>
      </w:pPr>
      <w:r>
        <w:t/>
      </w:r>
    </w:p>
    <w:p>
      <w:pPr>
        <w:pStyle w:val="Normal"/>
      </w:pPr>
      <w:r>
        <w:t xml:space="preserve">When a system crashes and needs to be reloaded or replaced, even with days to perform the recovery manually, it might be impossible to get the recovery just right. Although many </w:t>
      </w:r>
    </w:p>
    <w:p>
      <w:pPr>
        <w:pStyle w:val="Normal"/>
      </w:pPr>
      <w:r>
        <w:t xml:space="preserve">applications are common to most workstations, without an accurate software inventory, you </w:t>
      </w:r>
    </w:p>
    <w:p>
      <w:pPr>
        <w:pStyle w:val="Normal"/>
      </w:pPr>
      <w:r>
        <w:t xml:space="preserve">might be forced to rely on the user to remember what other software existed on the system. With solid desktop management recovery and inventory practices in place, such doesn’t have to be the </w:t>
      </w:r>
    </w:p>
    <w:p>
      <w:pPr>
        <w:pStyle w:val="Normal"/>
      </w:pPr>
      <w:r>
        <w:t xml:space="preserve">case. </w:t>
      </w:r>
    </w:p>
    <w:p>
      <w:pPr>
        <w:pStyle w:val="Para 25"/>
      </w:pPr>
      <w:r>
        <w:t/>
      </w:r>
    </w:p>
    <w:p>
      <w:pPr>
        <w:pStyle w:val="Para 02"/>
      </w:pPr>
      <w:r>
        <w:t xml:space="preserve">Have you spent hours or days fixing a problem that is limited to a single machine? It happens, but if </w:t>
      </w:r>
    </w:p>
    <w:p>
      <w:pPr>
        <w:pStyle w:val="Para 02"/>
      </w:pPr>
      <w:r>
        <w:t xml:space="preserve">you have an automated system recovery process in place, you shouldn’t spend more time on the </w:t>
      </w:r>
    </w:p>
    <w:p>
      <w:pPr>
        <w:pStyle w:val="Para 02"/>
      </w:pPr>
      <w:r>
        <w:t xml:space="preserve">problem than it would take to reload the system. Especially when an imaging and automated software </w:t>
      </w:r>
    </w:p>
    <w:p>
      <w:pPr>
        <w:pStyle w:val="Para 02"/>
      </w:pPr>
      <w:r>
        <w:t xml:space="preserve">deployment process has been implemented; in such a case, starting over can prove to be the most </w:t>
      </w:r>
    </w:p>
    <w:p>
      <w:pPr>
        <w:pStyle w:val="Para 02"/>
      </w:pPr>
      <w:r>
        <w:t xml:space="preserve">effective solution to many hard-to-solve computer problems.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2" name="index-17_1.png" descr="index-17_1.png"/>
            <wp:cNvGraphicFramePr>
              <a:graphicFrameLocks noChangeAspect="1"/>
            </wp:cNvGraphicFramePr>
            <a:graphic>
              <a:graphicData uri="http://schemas.openxmlformats.org/drawingml/2006/picture">
                <pic:pic>
                  <pic:nvPicPr>
                    <pic:cNvPr id="0" name="index-17_1.png" descr="index-17_1.png"/>
                    <pic:cNvPicPr/>
                  </pic:nvPicPr>
                  <pic:blipFill>
                    <a:blip r:embed="rId3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3" name="index-17_2.png" descr="index-17_2.png"/>
            <wp:cNvGraphicFramePr>
              <a:graphicFrameLocks noChangeAspect="1"/>
            </wp:cNvGraphicFramePr>
            <a:graphic>
              <a:graphicData uri="http://schemas.openxmlformats.org/drawingml/2006/picture">
                <pic:pic>
                  <pic:nvPicPr>
                    <pic:cNvPr id="0" name="index-17_2.png" descr="index-17_2.png"/>
                    <pic:cNvPicPr/>
                  </pic:nvPicPr>
                  <pic:blipFill>
                    <a:blip r:embed="rId37"/>
                    <a:stretch>
                      <a:fillRect/>
                    </a:stretch>
                  </pic:blipFill>
                  <pic:spPr>
                    <a:xfrm>
                      <a:off x="0" y="0"/>
                      <a:ext cx="914400" cy="444500"/>
                    </a:xfrm>
                    <a:prstGeom prst="rect">
                      <a:avLst/>
                    </a:prstGeom>
                  </pic:spPr>
                </pic:pic>
              </a:graphicData>
            </a:graphic>
          </wp:anchor>
        </w:drawing>
      </w:r>
    </w:p>
    <w:p>
      <w:pPr>
        <w:pStyle w:val="0 Block"/>
      </w:pPr>
    </w:p>
    <w:p>
      <w:bookmarkStart w:id="19" w:name="Chapter_1_4"/>
      <w:pPr>
        <w:pStyle w:val="Heading 1"/>
        <w:pageBreakBefore w:val="on"/>
      </w:pPr>
      <w:r>
        <w:t>Chapter 1</w:t>
      </w:r>
      <w:bookmarkEnd w:id="19"/>
    </w:p>
    <w:p>
      <w:pPr>
        <w:pStyle w:val="Para 25"/>
      </w:pPr>
      <w:r>
        <w:t/>
      </w:r>
    </w:p>
    <w:p>
      <w:pPr>
        <w:pStyle w:val="Para 12"/>
      </w:pPr>
      <w:r>
        <w:t xml:space="preserve">When to Automate </w:t>
      </w:r>
    </w:p>
    <w:p>
      <w:pPr>
        <w:pStyle w:val="Para 25"/>
      </w:pPr>
      <w:r>
        <w:t/>
      </w:r>
    </w:p>
    <w:p>
      <w:pPr>
        <w:pStyle w:val="Normal"/>
      </w:pPr>
      <w:r>
        <w:t xml:space="preserve">As I stated in the introduction, small offices and worldwide corporations alike will face the same </w:t>
      </w:r>
    </w:p>
    <w:p>
      <w:pPr>
        <w:pStyle w:val="Normal"/>
      </w:pPr>
      <w:r>
        <w:t xml:space="preserve">desktop administration issues. However, automation of desktop administration tasks might more </w:t>
      </w:r>
    </w:p>
    <w:p>
      <w:pPr>
        <w:pStyle w:val="Normal"/>
      </w:pPr>
      <w:r>
        <w:t xml:space="preserve">clearly benefit larger networks. But what is a large network? When does spending the time and money to engineer an automated process outweigh the time and money spent to handle the task </w:t>
      </w:r>
    </w:p>
    <w:p>
      <w:pPr>
        <w:pStyle w:val="Normal"/>
      </w:pPr>
      <w:r>
        <w:t xml:space="preserve">manually? Before we jump into a discussion of the scope of desktop administration, take into </w:t>
      </w:r>
    </w:p>
    <w:p>
      <w:pPr>
        <w:pStyle w:val="Normal"/>
      </w:pPr>
      <w:r>
        <w:t xml:space="preserve">account the following considerations to determine whether automation will benefit your desktop </w:t>
      </w:r>
    </w:p>
    <w:p>
      <w:pPr>
        <w:pStyle w:val="Normal"/>
      </w:pPr>
      <w:r>
        <w:t xml:space="preserve">administration practices: </w:t>
      </w:r>
    </w:p>
    <w:p>
      <w:pPr>
        <w:pStyle w:val="Para 25"/>
      </w:pPr>
      <w:r>
        <w:t/>
      </w:r>
    </w:p>
    <w:p>
      <w:pPr>
        <w:pStyle w:val="Para 04"/>
      </w:pPr>
      <w:r>
        <w:t xml:space="preserve">• </w:t>
        <w:t xml:space="preserve">Regularity of administration tasks—If your organization reloads, migrates, or sets up a </w:t>
      </w:r>
    </w:p>
    <w:p>
      <w:pPr>
        <w:pStyle w:val="Para 01"/>
      </w:pPr>
      <w:r>
        <w:t xml:space="preserve">new computer more than a couple of times per week, the need to automate such a process </w:t>
      </w:r>
    </w:p>
    <w:p>
      <w:pPr>
        <w:pStyle w:val="Para 01"/>
      </w:pPr>
      <w:r>
        <w:t xml:space="preserve">becomes clearly visible. </w:t>
      </w:r>
    </w:p>
    <w:p>
      <w:pPr>
        <w:pStyle w:val="Para 25"/>
      </w:pPr>
      <w:r>
        <w:t/>
      </w:r>
    </w:p>
    <w:p>
      <w:pPr>
        <w:pStyle w:val="Para 04"/>
      </w:pPr>
      <w:r>
        <w:t xml:space="preserve">• </w:t>
        <w:t xml:space="preserve">Speed of deployment—When taking into account additional application installation and </w:t>
      </w:r>
    </w:p>
    <w:p>
      <w:pPr>
        <w:pStyle w:val="Para 01"/>
      </w:pPr>
      <w:r>
        <w:t xml:space="preserve">administrative configurations, the time to install Windows might take as long as 6 hours. Imaging solutions can perform this process easily in less than an hour, with the </w:t>
      </w:r>
    </w:p>
    <w:p>
      <w:pPr>
        <w:pStyle w:val="Para 01"/>
      </w:pPr>
      <w:r>
        <w:t xml:space="preserve">possibility of reducing the operation to mere minutes. </w:t>
      </w:r>
    </w:p>
    <w:p>
      <w:pPr>
        <w:pStyle w:val="Para 25"/>
      </w:pPr>
      <w:r>
        <w:t/>
      </w:r>
    </w:p>
    <w:p>
      <w:pPr>
        <w:pStyle w:val="Para 04"/>
      </w:pPr>
      <w:r>
        <w:t xml:space="preserve">• Configuration consistency—Even if Windows installations or upgrades occur just a </w:t>
      </w:r>
    </w:p>
    <w:p>
      <w:pPr>
        <w:pStyle w:val="Para 01"/>
      </w:pPr>
      <w:r>
        <w:t xml:space="preserve">couple of times a month, the benefit of consistency gained through implementation of an automated process has great value. Support issues may be more easily addressed if all </w:t>
      </w:r>
    </w:p>
    <w:p>
      <w:pPr>
        <w:pStyle w:val="Para 01"/>
      </w:pPr>
      <w:r>
        <w:t xml:space="preserve">systems start with a consistent installation of Windows. </w:t>
      </w:r>
    </w:p>
    <w:p>
      <w:pPr>
        <w:pStyle w:val="Para 25"/>
      </w:pPr>
      <w:r>
        <w:t/>
      </w:r>
    </w:p>
    <w:p>
      <w:pPr>
        <w:pStyle w:val="Para 04"/>
      </w:pPr>
      <w:r>
        <w:t xml:space="preserve">• Lack of on-site technical staff—When there is little support staff available, having a </w:t>
      </w:r>
    </w:p>
    <w:p>
      <w:pPr>
        <w:pStyle w:val="Para 01"/>
      </w:pPr>
      <w:r>
        <w:t xml:space="preserve">system and application deployment process in place can help those less technical </w:t>
      </w:r>
    </w:p>
    <w:p>
      <w:pPr>
        <w:pStyle w:val="Para 01"/>
      </w:pPr>
      <w:r>
        <w:t xml:space="preserve">individuals reestablish a known good configuration. With an automated system deployment process is in place, people do not even need to know how to install Windows </w:t>
      </w:r>
    </w:p>
    <w:p>
      <w:pPr>
        <w:pStyle w:val="Para 01"/>
      </w:pPr>
      <w:r>
        <w:t xml:space="preserve">to get a system back up and running. </w:t>
      </w:r>
    </w:p>
    <w:p>
      <w:pPr>
        <w:pStyle w:val="Para 25"/>
      </w:pPr>
      <w:r>
        <w:t/>
      </w:r>
    </w:p>
    <w:p>
      <w:pPr>
        <w:pStyle w:val="Para 02"/>
      </w:pPr>
      <w:r>
        <w:t xml:space="preserve">I provided support for a daycare center where children would play learning games on computers. The </w:t>
      </w:r>
    </w:p>
    <w:p>
      <w:pPr>
        <w:pStyle w:val="Para 02"/>
      </w:pPr>
      <w:r>
        <w:t xml:space="preserve">kids would do all kinds of damage to the computers, mostly by turning them off while they were </w:t>
      </w:r>
    </w:p>
    <w:p>
      <w:pPr>
        <w:pStyle w:val="Para 02"/>
      </w:pPr>
      <w:r>
        <w:t xml:space="preserve">running. After fixing the computers for about 2 weeks, it became clear that I needed to provide a way </w:t>
      </w:r>
    </w:p>
    <w:p>
      <w:pPr>
        <w:pStyle w:val="Para 02"/>
      </w:pPr>
      <w:r>
        <w:t>for the non-technical people that worked there to fix the systems themselves. With a bootable CD-</w:t>
      </w:r>
    </w:p>
    <w:p>
      <w:pPr>
        <w:pStyle w:val="Para 02"/>
      </w:pPr>
      <w:r>
        <w:t xml:space="preserve">ROM that could apply an image of the hard drive, they were able to restore any problem systems </w:t>
      </w:r>
    </w:p>
    <w:p>
      <w:pPr>
        <w:pStyle w:val="Para 02"/>
      </w:pPr>
      <w:r>
        <w:t xml:space="preserve">themselves in just a few minutes. Of course, the kids still went through mice like candy, but </w:t>
      </w:r>
    </w:p>
    <w:p>
      <w:pPr>
        <w:pStyle w:val="Para 02"/>
      </w:pPr>
      <w:r>
        <w:t xml:space="preserve">troubleshooting Windows and the installed software took up no more of my time. This is just one </w:t>
      </w:r>
    </w:p>
    <w:p>
      <w:pPr>
        <w:pStyle w:val="Para 02"/>
      </w:pPr>
      <w:r>
        <w:t xml:space="preserve">example of how a desktop administration practice can not only save time and money, but also provide </w:t>
      </w:r>
    </w:p>
    <w:p>
      <w:pPr>
        <w:pStyle w:val="Para 02"/>
      </w:pPr>
      <w:r>
        <w:t xml:space="preserve">a permanent solution to a real-world problem. </w:t>
      </w:r>
    </w:p>
    <w:p>
      <w:pPr>
        <w:pStyle w:val="Para 25"/>
      </w:pPr>
      <w:r>
        <w:t/>
      </w:r>
    </w:p>
    <w:p>
      <w:pPr>
        <w:pStyle w:val="Para 07"/>
      </w:pPr>
      <w:r>
        <w:t xml:space="preserve">Deployment Automation </w:t>
      </w:r>
    </w:p>
    <w:p>
      <w:pPr>
        <w:pStyle w:val="Normal"/>
      </w:pPr>
      <w:r>
        <w:t xml:space="preserve">Automating the deployment of systems and applications is critical to realizing both speed and </w:t>
      </w:r>
    </w:p>
    <w:p>
      <w:pPr>
        <w:pStyle w:val="Normal"/>
      </w:pPr>
      <w:r>
        <w:t xml:space="preserve">consistency. Although speed is the most obvious and sought after benefit, the value of </w:t>
      </w:r>
    </w:p>
    <w:p>
      <w:pPr>
        <w:pStyle w:val="Normal"/>
      </w:pPr>
      <w:r>
        <w:t xml:space="preserve">consistency should not be overlooked. You can thoroughly test and document the automated solution, providing invaluable data when addressing problems down the road. When all machines </w:t>
      </w:r>
    </w:p>
    <w:p>
      <w:pPr>
        <w:pStyle w:val="Normal"/>
      </w:pPr>
      <w:r>
        <w:t xml:space="preserve">are not set up in the same manner, it is the inconsistencies (however small) that will make any </w:t>
      </w:r>
    </w:p>
    <w:p>
      <w:pPr>
        <w:pStyle w:val="Normal"/>
      </w:pPr>
      <w:r>
        <w:t xml:space="preserve">issues that arise both hard to identify and to reproduce. If you cannot reproduce a problem, it </w:t>
      </w:r>
    </w:p>
    <w:p>
      <w:pPr>
        <w:pStyle w:val="Normal"/>
      </w:pPr>
      <w:r>
        <w:t xml:space="preserve">becomes increasingly difficult, if not impossible, to identify. An automated deployment method ensures consistency.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4" name="index-18_1.png" descr="index-18_1.png"/>
            <wp:cNvGraphicFramePr>
              <a:graphicFrameLocks noChangeAspect="1"/>
            </wp:cNvGraphicFramePr>
            <a:graphic>
              <a:graphicData uri="http://schemas.openxmlformats.org/drawingml/2006/picture">
                <pic:pic>
                  <pic:nvPicPr>
                    <pic:cNvPr id="0" name="index-18_1.png" descr="index-18_1.png"/>
                    <pic:cNvPicPr/>
                  </pic:nvPicPr>
                  <pic:blipFill>
                    <a:blip r:embed="rId3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5" name="index-18_2.png" descr="index-18_2.png"/>
            <wp:cNvGraphicFramePr>
              <a:graphicFrameLocks noChangeAspect="1"/>
            </wp:cNvGraphicFramePr>
            <a:graphic>
              <a:graphicData uri="http://schemas.openxmlformats.org/drawingml/2006/picture">
                <pic:pic>
                  <pic:nvPicPr>
                    <pic:cNvPr id="0" name="index-18_2.png" descr="index-18_2.png"/>
                    <pic:cNvPicPr/>
                  </pic:nvPicPr>
                  <pic:blipFill>
                    <a:blip r:embed="rId39"/>
                    <a:stretch>
                      <a:fillRect/>
                    </a:stretch>
                  </pic:blipFill>
                  <pic:spPr>
                    <a:xfrm>
                      <a:off x="0" y="0"/>
                      <a:ext cx="914400" cy="444500"/>
                    </a:xfrm>
                    <a:prstGeom prst="rect">
                      <a:avLst/>
                    </a:prstGeom>
                  </pic:spPr>
                </pic:pic>
              </a:graphicData>
            </a:graphic>
          </wp:anchor>
        </w:drawing>
      </w:r>
    </w:p>
    <w:p>
      <w:pPr>
        <w:pStyle w:val="0 Block"/>
      </w:pPr>
    </w:p>
    <w:p>
      <w:bookmarkStart w:id="20" w:name="Chapter_1_5"/>
      <w:pPr>
        <w:pStyle w:val="Heading 1"/>
        <w:pageBreakBefore w:val="on"/>
      </w:pPr>
      <w:r>
        <w:t>Chapter 1</w:t>
      </w:r>
      <w:bookmarkEnd w:id="20"/>
    </w:p>
    <w:p>
      <w:pPr>
        <w:pStyle w:val="Para 25"/>
      </w:pPr>
      <w:r>
        <w:t/>
      </w:r>
    </w:p>
    <w:p>
      <w:pPr>
        <w:pStyle w:val="Para 07"/>
      </w:pPr>
      <w:r>
        <w:t xml:space="preserve">Backup Automation </w:t>
      </w:r>
    </w:p>
    <w:p>
      <w:pPr>
        <w:pStyle w:val="Normal"/>
      </w:pPr>
      <w:r>
        <w:t xml:space="preserve">Particularly in situations in which user data and settings are stored locally, an automated backup </w:t>
      </w:r>
    </w:p>
    <w:p>
      <w:pPr>
        <w:pStyle w:val="Normal"/>
      </w:pPr>
      <w:r>
        <w:t xml:space="preserve">implementation can save users the frustrations and delays that go with recovering them </w:t>
      </w:r>
    </w:p>
    <w:p>
      <w:pPr>
        <w:pStyle w:val="Normal"/>
      </w:pPr>
      <w:r>
        <w:t xml:space="preserve">manually. Even when roaming profiles are in use, corruption of such profiles is not uncommon. </w:t>
      </w:r>
    </w:p>
    <w:p>
      <w:pPr>
        <w:pStyle w:val="Normal"/>
      </w:pPr>
      <w:r>
        <w:t xml:space="preserve">An automated backup and recovery mechanism for maintaining a separate copy of the user profile can go a long way in the recovery process. </w:t>
      </w:r>
    </w:p>
    <w:p>
      <w:pPr>
        <w:pStyle w:val="Para 25"/>
      </w:pPr>
      <w:r>
        <w:t/>
      </w:r>
    </w:p>
    <w:p>
      <w:pPr>
        <w:pStyle w:val="Para 07"/>
      </w:pPr>
      <w:r>
        <w:t xml:space="preserve">Inventory Automation </w:t>
      </w:r>
    </w:p>
    <w:p>
      <w:pPr>
        <w:pStyle w:val="Normal"/>
      </w:pPr>
      <w:r>
        <w:t xml:space="preserve">The decision to automate inventory tasks is greatly dependant upon how often, how accurate, and </w:t>
      </w:r>
    </w:p>
    <w:p>
      <w:pPr>
        <w:pStyle w:val="Normal"/>
      </w:pPr>
      <w:r>
        <w:t xml:space="preserve">how detailed you need such reports. Even for a network of 30 machines, having an accurate </w:t>
      </w:r>
    </w:p>
    <w:p>
      <w:pPr>
        <w:pStyle w:val="Normal"/>
      </w:pPr>
      <w:r>
        <w:t xml:space="preserve">picture of what is on the network can be invaluable, yet hard to obtain manually. Managing license requirements, deciding how many upgrades you need to purchase, and being able to </w:t>
      </w:r>
    </w:p>
    <w:p>
      <w:pPr>
        <w:pStyle w:val="Normal"/>
      </w:pPr>
      <w:r>
        <w:t xml:space="preserve">report where software is installed are all difficult tasks to accomplish without the right tools. </w:t>
      </w:r>
    </w:p>
    <w:p>
      <w:pPr>
        <w:pStyle w:val="Normal"/>
      </w:pPr>
      <w:r>
        <w:t xml:space="preserve">Software and hardware inventory can be detailed, up to date, and readily available with fairly little investment. Knowing what it is you have (hardware and software) is one of the first and </w:t>
      </w:r>
    </w:p>
    <w:p>
      <w:pPr>
        <w:pStyle w:val="Normal"/>
      </w:pPr>
      <w:r>
        <w:t xml:space="preserve">most critical steps in performing large-scale updates and deployments. </w:t>
      </w:r>
    </w:p>
    <w:p>
      <w:pPr>
        <w:pStyle w:val="Para 25"/>
      </w:pPr>
      <w:r>
        <w:t/>
      </w:r>
    </w:p>
    <w:p>
      <w:pPr>
        <w:pStyle w:val="Para 09"/>
      </w:pPr>
      <w:r>
        <w:t xml:space="preserve">Windows Management Instrumentation </w:t>
      </w:r>
    </w:p>
    <w:p>
      <w:pPr>
        <w:pStyle w:val="Para 25"/>
      </w:pPr>
      <w:r>
        <w:t/>
      </w:r>
    </w:p>
    <w:p>
      <w:pPr>
        <w:pStyle w:val="Normal"/>
      </w:pPr>
      <w:r>
        <w:t xml:space="preserve">When it comes to inventory, one of the most helpful new technologies is Windows Management </w:t>
      </w:r>
    </w:p>
    <w:p>
      <w:pPr>
        <w:pStyle w:val="Normal"/>
      </w:pPr>
      <w:r>
        <w:t xml:space="preserve">Instrumentation (WMI). Microsoft has included more and more manageability with each release </w:t>
      </w:r>
    </w:p>
    <w:p>
      <w:pPr>
        <w:pStyle w:val="Normal"/>
      </w:pPr>
      <w:r>
        <w:t xml:space="preserve">of WMI. Among other things, WMI provides a means of collecting an extensive amount of </w:t>
      </w:r>
    </w:p>
    <w:p>
      <w:pPr>
        <w:pStyle w:val="Normal"/>
      </w:pPr>
      <w:r>
        <w:t xml:space="preserve">information about a system. </w:t>
      </w:r>
    </w:p>
    <w:p>
      <w:pPr>
        <w:pStyle w:val="Para 25"/>
      </w:pPr>
      <w:r>
        <w:t/>
      </w:r>
    </w:p>
    <w:p>
      <w:pPr>
        <w:pStyle w:val="Normal"/>
      </w:pPr>
      <w:r>
        <w:t xml:space="preserve">The WMI Object Browser, which Figure 1.1 shows, is one of the tools available in the WMI </w:t>
      </w:r>
    </w:p>
    <w:p>
      <w:pPr>
        <w:pStyle w:val="Normal"/>
      </w:pPr>
      <w:r>
        <w:t xml:space="preserve">Administrative Tools. The WMI Object Browser lets you see all the WMI information available </w:t>
      </w:r>
    </w:p>
    <w:p>
      <w:pPr>
        <w:pStyle w:val="Normal"/>
      </w:pPr>
      <w:r>
        <w:t xml:space="preserve">along with the associated values for the specified system (the local system is specified by default). Taking a look around in this tool lets you see just how much information is available to </w:t>
      </w:r>
    </w:p>
    <w:p>
      <w:pPr>
        <w:pStyle w:val="Normal"/>
      </w:pPr>
      <w:r>
        <w:t xml:space="preserve">you.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6" name="index-19_1.png" descr="index-19_1.png"/>
            <wp:cNvGraphicFramePr>
              <a:graphicFrameLocks noChangeAspect="1"/>
            </wp:cNvGraphicFramePr>
            <a:graphic>
              <a:graphicData uri="http://schemas.openxmlformats.org/drawingml/2006/picture">
                <pic:pic>
                  <pic:nvPicPr>
                    <pic:cNvPr id="0" name="index-19_1.png" descr="index-19_1.png"/>
                    <pic:cNvPicPr/>
                  </pic:nvPicPr>
                  <pic:blipFill>
                    <a:blip r:embed="rId4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7" name="index-19_2.png" descr="index-19_2.png"/>
            <wp:cNvGraphicFramePr>
              <a:graphicFrameLocks noChangeAspect="1"/>
            </wp:cNvGraphicFramePr>
            <a:graphic>
              <a:graphicData uri="http://schemas.openxmlformats.org/drawingml/2006/picture">
                <pic:pic>
                  <pic:nvPicPr>
                    <pic:cNvPr id="0" name="index-19_2.png" descr="index-19_2.png"/>
                    <pic:cNvPicPr/>
                  </pic:nvPicPr>
                  <pic:blipFill>
                    <a:blip r:embed="rId41"/>
                    <a:stretch>
                      <a:fillRect/>
                    </a:stretch>
                  </pic:blipFill>
                  <pic:spPr>
                    <a:xfrm>
                      <a:off x="0" y="0"/>
                      <a:ext cx="914400" cy="444500"/>
                    </a:xfrm>
                    <a:prstGeom prst="rect">
                      <a:avLst/>
                    </a:prstGeom>
                  </pic:spPr>
                </pic:pic>
              </a:graphicData>
            </a:graphic>
          </wp:anchor>
        </w:drawing>
      </w:r>
    </w:p>
    <w:p>
      <w:pPr>
        <w:pStyle w:val="0 Block"/>
      </w:pPr>
    </w:p>
    <w:p>
      <w:bookmarkStart w:id="21" w:name="Chapter_1_6"/>
      <w:pPr>
        <w:pStyle w:val="Heading 1"/>
        <w:pageBreakBefore w:val="on"/>
      </w:pPr>
      <w:r>
        <w:t>Chapter 1</w:t>
      </w:r>
      <w:bookmarkEnd w:id="2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33800" cy="2540000"/>
            <wp:effectExtent l="0" r="0" t="0" b="0"/>
            <wp:wrapTopAndBottom/>
            <wp:docPr id="38" name="index-20_1.png" descr="index-20_1.png"/>
            <wp:cNvGraphicFramePr>
              <a:graphicFrameLocks noChangeAspect="1"/>
            </wp:cNvGraphicFramePr>
            <a:graphic>
              <a:graphicData uri="http://schemas.openxmlformats.org/drawingml/2006/picture">
                <pic:pic>
                  <pic:nvPicPr>
                    <pic:cNvPr id="0" name="index-20_1.png" descr="index-20_1.png"/>
                    <pic:cNvPicPr/>
                  </pic:nvPicPr>
                  <pic:blipFill>
                    <a:blip r:embed="rId42"/>
                    <a:stretch>
                      <a:fillRect/>
                    </a:stretch>
                  </pic:blipFill>
                  <pic:spPr>
                    <a:xfrm>
                      <a:off x="0" y="0"/>
                      <a:ext cx="3733800" cy="25400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1.1: The WMI Object Browser. </w:t>
      </w:r>
    </w:p>
    <w:p>
      <w:pPr>
        <w:pStyle w:val="Para 25"/>
      </w:pPr>
      <w:r>
        <w:t/>
      </w:r>
    </w:p>
    <w:p>
      <w:pPr>
        <w:pStyle w:val="Para 14"/>
      </w:pPr>
      <w:r>
        <w:t xml:space="preserve"> The WMI Administrative Tools are available at </w:t>
      </w:r>
    </w:p>
    <w:p>
      <w:pPr>
        <w:pStyle w:val="Para 02"/>
      </w:pPr>
      <w:r>
        <w:t>http://www.microsoft.com/downloads/details.aspx?displaylang=en&amp;FamilyID=6430F853-1120-48DB-</w:t>
      </w:r>
    </w:p>
    <w:p>
      <w:pPr>
        <w:pStyle w:val="Para 02"/>
      </w:pPr>
      <w:r>
        <w:t xml:space="preserve">8CC5-F2ABDC3ED314. </w:t>
      </w:r>
    </w:p>
    <w:p>
      <w:pPr>
        <w:pStyle w:val="Para 25"/>
      </w:pPr>
      <w:r>
        <w:t/>
      </w:r>
    </w:p>
    <w:p>
      <w:pPr>
        <w:pStyle w:val="Para 12"/>
      </w:pPr>
      <w:r>
        <w:t xml:space="preserve">The Scope of Desktop Administration </w:t>
      </w:r>
    </w:p>
    <w:p>
      <w:pPr>
        <w:pStyle w:val="Para 25"/>
      </w:pPr>
      <w:r>
        <w:t/>
      </w:r>
    </w:p>
    <w:p>
      <w:pPr>
        <w:pStyle w:val="Normal"/>
      </w:pPr>
      <w:r>
        <w:t xml:space="preserve">As you’re probably beginning to realize, desktop administration covers just about everything except servers and the network infrastructure. In this book, we will focus on the areas of </w:t>
      </w:r>
    </w:p>
    <w:p>
      <w:pPr>
        <w:pStyle w:val="Normal"/>
      </w:pPr>
      <w:r>
        <w:t xml:space="preserve">deployment, management, and control of computers and users. In the following sections, I’ll </w:t>
      </w:r>
    </w:p>
    <w:p>
      <w:pPr>
        <w:pStyle w:val="Normal"/>
      </w:pPr>
      <w:r>
        <w:t xml:space="preserve">briefly introduce you to the areas of desktop administration that we’ll discuss throughout this book as well as reference the chapters in which each topic will be covered in more detail. </w:t>
      </w:r>
    </w:p>
    <w:p>
      <w:pPr>
        <w:pStyle w:val="Para 25"/>
      </w:pPr>
      <w:r>
        <w:t/>
      </w:r>
    </w:p>
    <w:p>
      <w:pPr>
        <w:pStyle w:val="Para 07"/>
      </w:pPr>
      <w:r>
        <w:t xml:space="preserve">System Deployment </w:t>
      </w:r>
    </w:p>
    <w:p>
      <w:pPr>
        <w:pStyle w:val="Normal"/>
      </w:pPr>
      <w:r>
        <w:t xml:space="preserve">The deployment of systems is the first step in desktop administration. A properly configured and </w:t>
      </w:r>
    </w:p>
    <w:p>
      <w:pPr>
        <w:pStyle w:val="Normal"/>
      </w:pPr>
      <w:r>
        <w:t xml:space="preserve">well-tested Windows rollout is critical to the health of a system. Any problems with this initial </w:t>
      </w:r>
    </w:p>
    <w:p>
      <w:pPr>
        <w:pStyle w:val="Normal"/>
      </w:pPr>
      <w:r>
        <w:t xml:space="preserve">system will need to be identified and corrected for all systems to which the deployment process is applied. Any issues not identified early might be compounded further with the addition of </w:t>
      </w:r>
    </w:p>
    <w:p>
      <w:pPr>
        <w:pStyle w:val="Normal"/>
      </w:pPr>
      <w:r>
        <w:t xml:space="preserve">software and other configuration processes.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9" name="index-20_2.png" descr="index-20_2.png"/>
            <wp:cNvGraphicFramePr>
              <a:graphicFrameLocks noChangeAspect="1"/>
            </wp:cNvGraphicFramePr>
            <a:graphic>
              <a:graphicData uri="http://schemas.openxmlformats.org/drawingml/2006/picture">
                <pic:pic>
                  <pic:nvPicPr>
                    <pic:cNvPr id="0" name="index-20_2.png" descr="index-20_2.png"/>
                    <pic:cNvPicPr/>
                  </pic:nvPicPr>
                  <pic:blipFill>
                    <a:blip r:embed="rId4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0" name="index-20_3.png" descr="index-20_3.png"/>
            <wp:cNvGraphicFramePr>
              <a:graphicFrameLocks noChangeAspect="1"/>
            </wp:cNvGraphicFramePr>
            <a:graphic>
              <a:graphicData uri="http://schemas.openxmlformats.org/drawingml/2006/picture">
                <pic:pic>
                  <pic:nvPicPr>
                    <pic:cNvPr id="0" name="index-20_3.png" descr="index-20_3.png"/>
                    <pic:cNvPicPr/>
                  </pic:nvPicPr>
                  <pic:blipFill>
                    <a:blip r:embed="rId44"/>
                    <a:stretch>
                      <a:fillRect/>
                    </a:stretch>
                  </pic:blipFill>
                  <pic:spPr>
                    <a:xfrm>
                      <a:off x="0" y="0"/>
                      <a:ext cx="914400" cy="444500"/>
                    </a:xfrm>
                    <a:prstGeom prst="rect">
                      <a:avLst/>
                    </a:prstGeom>
                  </pic:spPr>
                </pic:pic>
              </a:graphicData>
            </a:graphic>
          </wp:anchor>
        </w:drawing>
      </w:r>
    </w:p>
    <w:p>
      <w:pPr>
        <w:pStyle w:val="0 Block"/>
      </w:pPr>
    </w:p>
    <w:p>
      <w:bookmarkStart w:id="22" w:name="Chapter_1_7"/>
      <w:pPr>
        <w:pStyle w:val="Heading 1"/>
        <w:pageBreakBefore w:val="on"/>
      </w:pPr>
      <w:r>
        <w:t>Chapter 1</w:t>
      </w:r>
      <w:bookmarkEnd w:id="22"/>
    </w:p>
    <w:p>
      <w:pPr>
        <w:pStyle w:val="Para 25"/>
      </w:pPr>
      <w:r>
        <w:t/>
      </w:r>
    </w:p>
    <w:p>
      <w:pPr>
        <w:pStyle w:val="Normal"/>
      </w:pPr>
      <w:r>
        <w:t xml:space="preserve">When deciding whether to perform manual installations, script automated installations </w:t>
      </w:r>
    </w:p>
    <w:p>
      <w:pPr>
        <w:pStyle w:val="Normal"/>
      </w:pPr>
      <w:r>
        <w:t xml:space="preserve">(unattended installations), apply drive images, or make use of duplicated hard drives, there are </w:t>
      </w:r>
    </w:p>
    <w:p>
      <w:pPr>
        <w:pStyle w:val="Normal"/>
      </w:pPr>
      <w:r>
        <w:t xml:space="preserve">several factors to consider. There are benefits and drawbacks to each of these methods. </w:t>
      </w:r>
    </w:p>
    <w:p>
      <w:pPr>
        <w:pStyle w:val="Para 25"/>
      </w:pPr>
      <w:r>
        <w:t/>
      </w:r>
    </w:p>
    <w:p>
      <w:pPr>
        <w:pStyle w:val="Para 04"/>
      </w:pPr>
      <w:r>
        <w:t xml:space="preserve">• </w:t>
        <w:t xml:space="preserve">Manual installations—The benefit of manual installation is the ability to deviate from an </w:t>
      </w:r>
    </w:p>
    <w:p>
      <w:pPr>
        <w:pStyle w:val="Para 01"/>
      </w:pPr>
      <w:r>
        <w:t xml:space="preserve">established process when necessary. In contrast, inadvertently deviating from an </w:t>
      </w:r>
    </w:p>
    <w:p>
      <w:pPr>
        <w:pStyle w:val="Para 01"/>
      </w:pPr>
      <w:r>
        <w:t xml:space="preserve">established process is one of the primary reasons for automating installations. Manual </w:t>
      </w:r>
    </w:p>
    <w:p>
      <w:pPr>
        <w:pStyle w:val="Para 01"/>
      </w:pPr>
      <w:r>
        <w:t xml:space="preserve">installation is more costly in terms of time—it takes the administrator’s time to perform the installation and takes time away from users’ work while they wait. </w:t>
      </w:r>
    </w:p>
    <w:p>
      <w:pPr>
        <w:pStyle w:val="Para 25"/>
      </w:pPr>
      <w:r>
        <w:t/>
      </w:r>
    </w:p>
    <w:p>
      <w:pPr>
        <w:pStyle w:val="Para 04"/>
      </w:pPr>
      <w:r>
        <w:t xml:space="preserve">• Unattended installations—Installation consistency and a reduction of time for the </w:t>
      </w:r>
    </w:p>
    <w:p>
      <w:pPr>
        <w:pStyle w:val="Para 01"/>
      </w:pPr>
      <w:r>
        <w:t xml:space="preserve">installation are benefits of unattended installations over a manual installation; however, </w:t>
      </w:r>
    </w:p>
    <w:p>
      <w:pPr>
        <w:pStyle w:val="Para 01"/>
      </w:pPr>
      <w:r>
        <w:t xml:space="preserve">unattended installations can still take more time than the other options. Microsoft provides a method for supporting unattended installations of Windows. There are also </w:t>
      </w:r>
    </w:p>
    <w:p>
      <w:pPr>
        <w:pStyle w:val="Para 01"/>
      </w:pPr>
      <w:r>
        <w:t xml:space="preserve">third-party tools available to assist in this process. </w:t>
      </w:r>
    </w:p>
    <w:p>
      <w:pPr>
        <w:pStyle w:val="Para 25"/>
      </w:pPr>
      <w:r>
        <w:t/>
      </w:r>
    </w:p>
    <w:p>
      <w:pPr>
        <w:pStyle w:val="Para 04"/>
      </w:pPr>
      <w:r>
        <w:t xml:space="preserve">• </w:t>
        <w:t xml:space="preserve">Drive imaging—There are a handful of hard drive imaging products on the market that </w:t>
      </w:r>
    </w:p>
    <w:p>
      <w:pPr>
        <w:pStyle w:val="Para 01"/>
      </w:pPr>
      <w:r>
        <w:t xml:space="preserve">provide a means of distributing an exact copy of a hard drive across many systems. Many </w:t>
      </w:r>
    </w:p>
    <w:p>
      <w:pPr>
        <w:pStyle w:val="Para 01"/>
      </w:pPr>
      <w:r>
        <w:t xml:space="preserve">implementations provide support for both locally and remotely applying these images to a hard drive. Speed is certainly the primary reason for implementing such a tool on your </w:t>
      </w:r>
    </w:p>
    <w:p>
      <w:pPr>
        <w:pStyle w:val="Para 01"/>
      </w:pPr>
      <w:r>
        <w:t xml:space="preserve">network. (However, if you have multiple hardware configurations on your network, you </w:t>
      </w:r>
    </w:p>
    <w:p>
      <w:pPr>
        <w:pStyle w:val="Para 01"/>
      </w:pPr>
      <w:r>
        <w:t xml:space="preserve">might need multiple images.) The ability to include additional software applications in an image is also a key benefit to drive imaging, but taking advantage of this capability can </w:t>
      </w:r>
    </w:p>
    <w:p>
      <w:pPr>
        <w:pStyle w:val="Para 01"/>
      </w:pPr>
      <w:r>
        <w:t xml:space="preserve">further increase your need for multiple images. The drawbacks to this method include the </w:t>
      </w:r>
    </w:p>
    <w:p>
      <w:pPr>
        <w:pStyle w:val="Para 01"/>
      </w:pPr>
      <w:r>
        <w:t xml:space="preserve">fact that hardware incompatibilities can also make using a single image for all machines </w:t>
      </w:r>
    </w:p>
    <w:p>
      <w:pPr>
        <w:pStyle w:val="Para 01"/>
      </w:pPr>
      <w:r>
        <w:t xml:space="preserve">very difficult or even impossible. The more images you have to work with, the more difficult it will be to keep them all up to date and easily accessible. Additionally, in </w:t>
      </w:r>
    </w:p>
    <w:p>
      <w:pPr>
        <w:pStyle w:val="Para 01"/>
      </w:pPr>
      <w:r>
        <w:t xml:space="preserve">situations in which a network installation is to be performed, bandwidth restrictions may </w:t>
      </w:r>
    </w:p>
    <w:p>
      <w:pPr>
        <w:pStyle w:val="Para 01"/>
      </w:pPr>
      <w:r>
        <w:t xml:space="preserve">cause significant delays in applying something as large as a drive image. For this reason, it might not be possible to image more than a couple of machines at a time. </w:t>
      </w:r>
    </w:p>
    <w:p>
      <w:pPr>
        <w:pStyle w:val="Para 25"/>
      </w:pPr>
      <w:r>
        <w:t/>
      </w:r>
    </w:p>
    <w:p>
      <w:pPr>
        <w:pStyle w:val="Para 04"/>
      </w:pPr>
      <w:r>
        <w:t xml:space="preserve">• </w:t>
        <w:t xml:space="preserve">Drive duplication—Hardware solutions exist that provide a means for cloning disks from </w:t>
      </w:r>
    </w:p>
    <w:p>
      <w:pPr>
        <w:pStyle w:val="Para 01"/>
      </w:pPr>
      <w:r>
        <w:t xml:space="preserve">one to another or from one to many drives at the same time. Speed is the primary benefit </w:t>
      </w:r>
    </w:p>
    <w:p>
      <w:pPr>
        <w:pStyle w:val="Para 01"/>
      </w:pPr>
      <w:r>
        <w:t xml:space="preserve">of this method. The negative aspects of drive duplication are the same as that of software imaging. In addition, the time spent removing and installing hard drives from systems </w:t>
      </w:r>
    </w:p>
    <w:p>
      <w:pPr>
        <w:pStyle w:val="Para 01"/>
      </w:pPr>
      <w:r>
        <w:t xml:space="preserve">must also be taken into consideration. </w:t>
      </w:r>
    </w:p>
    <w:p>
      <w:pPr>
        <w:pStyle w:val="Para 25"/>
      </w:pPr>
      <w:r>
        <w:t/>
      </w:r>
    </w:p>
    <w:p>
      <w:pPr>
        <w:pStyle w:val="Para 02"/>
      </w:pPr>
      <w:r>
        <w:t xml:space="preserve">In Chapter 2, we will explore these options as well as the tools available in more detail. </w:t>
      </w:r>
    </w:p>
    <w:p>
      <w:pPr>
        <w:pStyle w:val="Para 25"/>
      </w:pPr>
      <w:r>
        <w:t/>
      </w:r>
    </w:p>
    <w:p>
      <w:pPr>
        <w:pStyle w:val="Para 07"/>
      </w:pPr>
      <w:r>
        <w:t xml:space="preserve">User Profile and Data Management </w:t>
      </w:r>
    </w:p>
    <w:p>
      <w:pPr>
        <w:pStyle w:val="Normal"/>
      </w:pPr>
      <w:r>
        <w:t xml:space="preserve">As I previously mentioned, user profile and data management is another aspect of desktop </w:t>
      </w:r>
    </w:p>
    <w:p>
      <w:pPr>
        <w:pStyle w:val="Normal"/>
      </w:pPr>
      <w:r>
        <w:t xml:space="preserve">administration. You can manage user settings and data in many ways. Proper configuration of the </w:t>
      </w:r>
    </w:p>
    <w:p>
      <w:pPr>
        <w:pStyle w:val="Normal"/>
      </w:pPr>
      <w:r>
        <w:t xml:space="preserve">default user profile and enforcement of settings via Group Policies can provide great control over </w:t>
      </w:r>
    </w:p>
    <w:p>
      <w:pPr>
        <w:pStyle w:val="Normal"/>
      </w:pPr>
      <w:r>
        <w:t xml:space="preserve">a user’s experience with applications and the OS. In addition, custom scripts and third-party tools such as ScriptLogic provide an ability to manage user profiles and data without some of the </w:t>
      </w:r>
    </w:p>
    <w:p>
      <w:pPr>
        <w:pStyle w:val="Normal"/>
      </w:pPr>
      <w:r>
        <w:t xml:space="preserve">restrictions that exist in Group Policy. The following points highlight the user profile and data </w:t>
      </w:r>
    </w:p>
    <w:p>
      <w:pPr>
        <w:pStyle w:val="Normal"/>
      </w:pPr>
      <w:r>
        <w:t xml:space="preserve">management practices that we’ll explore: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1" name="index-21_1.png" descr="index-21_1.png"/>
            <wp:cNvGraphicFramePr>
              <a:graphicFrameLocks noChangeAspect="1"/>
            </wp:cNvGraphicFramePr>
            <a:graphic>
              <a:graphicData uri="http://schemas.openxmlformats.org/drawingml/2006/picture">
                <pic:pic>
                  <pic:nvPicPr>
                    <pic:cNvPr id="0" name="index-21_1.png" descr="index-21_1.png"/>
                    <pic:cNvPicPr/>
                  </pic:nvPicPr>
                  <pic:blipFill>
                    <a:blip r:embed="rId4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2" name="index-21_2.png" descr="index-21_2.png"/>
            <wp:cNvGraphicFramePr>
              <a:graphicFrameLocks noChangeAspect="1"/>
            </wp:cNvGraphicFramePr>
            <a:graphic>
              <a:graphicData uri="http://schemas.openxmlformats.org/drawingml/2006/picture">
                <pic:pic>
                  <pic:nvPicPr>
                    <pic:cNvPr id="0" name="index-21_2.png" descr="index-21_2.png"/>
                    <pic:cNvPicPr/>
                  </pic:nvPicPr>
                  <pic:blipFill>
                    <a:blip r:embed="rId46"/>
                    <a:stretch>
                      <a:fillRect/>
                    </a:stretch>
                  </pic:blipFill>
                  <pic:spPr>
                    <a:xfrm>
                      <a:off x="0" y="0"/>
                      <a:ext cx="914400" cy="444500"/>
                    </a:xfrm>
                    <a:prstGeom prst="rect">
                      <a:avLst/>
                    </a:prstGeom>
                  </pic:spPr>
                </pic:pic>
              </a:graphicData>
            </a:graphic>
          </wp:anchor>
        </w:drawing>
      </w:r>
    </w:p>
    <w:p>
      <w:pPr>
        <w:pStyle w:val="0 Block"/>
      </w:pPr>
    </w:p>
    <w:p>
      <w:bookmarkStart w:id="23" w:name="Chapter_1_8"/>
      <w:pPr>
        <w:pStyle w:val="Heading 1"/>
        <w:pageBreakBefore w:val="on"/>
      </w:pPr>
      <w:r>
        <w:t>Chapter 1</w:t>
      </w:r>
      <w:bookmarkEnd w:id="23"/>
    </w:p>
    <w:p>
      <w:pPr>
        <w:pStyle w:val="Para 25"/>
      </w:pPr>
      <w:r>
        <w:t/>
      </w:r>
    </w:p>
    <w:p>
      <w:pPr>
        <w:pStyle w:val="Para 04"/>
      </w:pPr>
      <w:r>
        <w:t xml:space="preserve">• </w:t>
        <w:t xml:space="preserve">Default user profile—Creating and continuing to manage the default user profile can </w:t>
      </w:r>
    </w:p>
    <w:p>
      <w:pPr>
        <w:pStyle w:val="Para 25"/>
      </w:pPr>
      <w:r>
        <w:t xml:space="preserve">provide users with a customized default base of application and Windows settings. </w:t>
      </w:r>
    </w:p>
    <w:p>
      <w:pPr>
        <w:pStyle w:val="Para 25"/>
      </w:pPr>
      <w:r>
        <w:t/>
      </w:r>
    </w:p>
    <w:p>
      <w:pPr>
        <w:pStyle w:val="Para 04"/>
      </w:pPr>
      <w:r>
        <w:t xml:space="preserve">• Implementing roaming profile size limitations—You can set a quota on the size of a </w:t>
      </w:r>
    </w:p>
    <w:p>
      <w:pPr>
        <w:pStyle w:val="Para 01"/>
      </w:pPr>
      <w:r>
        <w:t xml:space="preserve">roaming profile to avoid situations in which users create or drag large files into their </w:t>
      </w:r>
    </w:p>
    <w:p>
      <w:pPr>
        <w:pStyle w:val="Para 01"/>
      </w:pPr>
      <w:r>
        <w:t xml:space="preserve">profiles. Having too large a profile can result in extended logon and logoff events. In addition, this situation increases the likelihood of corruption. </w:t>
      </w:r>
    </w:p>
    <w:p>
      <w:pPr>
        <w:pStyle w:val="Para 25"/>
      </w:pPr>
      <w:r>
        <w:t/>
      </w:r>
    </w:p>
    <w:p>
      <w:pPr>
        <w:pStyle w:val="Para 04"/>
      </w:pPr>
      <w:r>
        <w:t xml:space="preserve">• </w:t>
        <w:t xml:space="preserve">Folder redirection—Redirecting folders using the new capabilities offered by Windows </w:t>
      </w:r>
    </w:p>
    <w:p>
      <w:pPr>
        <w:pStyle w:val="Para 01"/>
      </w:pPr>
      <w:r>
        <w:t xml:space="preserve">XP can go a long way to keep the size of roaming profiles down. Even if you have not </w:t>
      </w:r>
    </w:p>
    <w:p>
      <w:pPr>
        <w:pStyle w:val="Para 01"/>
      </w:pPr>
      <w:r>
        <w:t xml:space="preserve">implemented roaming profiles, redirecting folders to a server location can still be very valuable in your efforts to have users store data on the server where it can be backed up. </w:t>
      </w:r>
    </w:p>
    <w:p>
      <w:pPr>
        <w:pStyle w:val="Para 25"/>
      </w:pPr>
      <w:r>
        <w:t/>
      </w:r>
    </w:p>
    <w:p>
      <w:pPr>
        <w:pStyle w:val="Para 04"/>
      </w:pPr>
      <w:r>
        <w:t xml:space="preserve">• </w:t>
        <w:t xml:space="preserve">Troubleshooting—Simply delete the user’s profile—that ought to fix it! We will discuss a </w:t>
      </w:r>
    </w:p>
    <w:p>
      <w:pPr>
        <w:pStyle w:val="Para 01"/>
      </w:pPr>
      <w:r>
        <w:t xml:space="preserve">more methodical approach than this to troubleshooting, including how to determine </w:t>
      </w:r>
    </w:p>
    <w:p>
      <w:pPr>
        <w:pStyle w:val="Para 01"/>
      </w:pPr>
      <w:r>
        <w:t xml:space="preserve">whether the profile is the problem and ways to identify where in the profile the problem might exist. </w:t>
      </w:r>
    </w:p>
    <w:p>
      <w:pPr>
        <w:pStyle w:val="Para 25"/>
      </w:pPr>
      <w:r>
        <w:t/>
      </w:r>
    </w:p>
    <w:p>
      <w:pPr>
        <w:pStyle w:val="Para 02"/>
      </w:pPr>
      <w:r>
        <w:t xml:space="preserve">We will discuss these options and related topics in Chapter 3. </w:t>
      </w:r>
    </w:p>
    <w:p>
      <w:pPr>
        <w:pStyle w:val="Para 25"/>
      </w:pPr>
      <w:r>
        <w:t/>
      </w:r>
    </w:p>
    <w:p>
      <w:pPr>
        <w:pStyle w:val="Para 07"/>
      </w:pPr>
      <w:r>
        <w:t xml:space="preserve">Application Management </w:t>
      </w:r>
    </w:p>
    <w:p>
      <w:pPr>
        <w:pStyle w:val="Normal"/>
      </w:pPr>
      <w:r>
        <w:t xml:space="preserve">Suppose you’ve completed your initial deployment of all systems just as they should be—with </w:t>
      </w:r>
    </w:p>
    <w:p>
      <w:pPr>
        <w:pStyle w:val="Normal"/>
      </w:pPr>
      <w:r>
        <w:t xml:space="preserve">all the tools needed by everyone, before long a new version or update would rear its ugly head, which brings us to the next facet of desktop administration—application management. There a </w:t>
      </w:r>
    </w:p>
    <w:p>
      <w:pPr>
        <w:pStyle w:val="Normal"/>
      </w:pPr>
      <w:r>
        <w:t xml:space="preserve">number of tools and methods available to avoid the need to visit each machine to perform </w:t>
      </w:r>
    </w:p>
    <w:p>
      <w:pPr>
        <w:pStyle w:val="Normal"/>
      </w:pPr>
      <w:r>
        <w:t xml:space="preserve">updates and installations. As the following list points out, you can implement desktop administration practices to meet many of your application management needs: </w:t>
      </w:r>
    </w:p>
    <w:p>
      <w:pPr>
        <w:pStyle w:val="Para 25"/>
      </w:pPr>
      <w:r>
        <w:t/>
      </w:r>
    </w:p>
    <w:p>
      <w:pPr>
        <w:pStyle w:val="Para 04"/>
      </w:pPr>
      <w:r>
        <w:t xml:space="preserve">• </w:t>
        <w:t xml:space="preserve">New software deployments—In a simplistic view, it is the software that allows many </w:t>
      </w:r>
    </w:p>
    <w:p>
      <w:pPr>
        <w:pStyle w:val="Para 01"/>
      </w:pPr>
      <w:r>
        <w:t xml:space="preserve">businesses to operate. The timely deployment of a mission-critical application can often </w:t>
      </w:r>
    </w:p>
    <w:p>
      <w:pPr>
        <w:pStyle w:val="Para 01"/>
      </w:pPr>
      <w:r>
        <w:t xml:space="preserve">be measured in dollars. There will always be newer and better software released, and a </w:t>
      </w:r>
    </w:p>
    <w:p>
      <w:pPr>
        <w:pStyle w:val="Para 01"/>
      </w:pPr>
      <w:r>
        <w:t xml:space="preserve">streamlined process for implementing these deployments must be carefully considered. </w:t>
      </w:r>
    </w:p>
    <w:p>
      <w:pPr>
        <w:pStyle w:val="Para 25"/>
      </w:pPr>
      <w:r>
        <w:t/>
      </w:r>
    </w:p>
    <w:p>
      <w:pPr>
        <w:pStyle w:val="Para 04"/>
      </w:pPr>
      <w:r>
        <w:t xml:space="preserve">• </w:t>
        <w:t xml:space="preserve">Deployment of Windows application updates—Microsoft releases new hotfixes, security </w:t>
      </w:r>
    </w:p>
    <w:p>
      <w:pPr>
        <w:pStyle w:val="Para 01"/>
      </w:pPr>
      <w:r>
        <w:t xml:space="preserve">patches, and service packs every day. Although they might not all address the needs of </w:t>
      </w:r>
    </w:p>
    <w:p>
      <w:pPr>
        <w:pStyle w:val="Para 01"/>
      </w:pPr>
      <w:r>
        <w:t xml:space="preserve">your network, a great many of them will. The need to quickly implement patches, </w:t>
      </w:r>
    </w:p>
    <w:p>
      <w:pPr>
        <w:pStyle w:val="Para 01"/>
      </w:pPr>
      <w:r>
        <w:t xml:space="preserve">especially where security is involved, can be critical. </w:t>
      </w:r>
    </w:p>
    <w:p>
      <w:pPr>
        <w:pStyle w:val="Para 25"/>
      </w:pPr>
      <w:r>
        <w:t/>
      </w:r>
    </w:p>
    <w:p>
      <w:pPr>
        <w:pStyle w:val="Para 04"/>
      </w:pPr>
      <w:r>
        <w:t xml:space="preserve">• Metering and usage metrics—Application metering provides the ability to monitor </w:t>
      </w:r>
    </w:p>
    <w:p>
      <w:pPr>
        <w:pStyle w:val="Para 01"/>
      </w:pPr>
      <w:r>
        <w:t xml:space="preserve">license usage, and in some implementations, even halt the execution of an application </w:t>
      </w:r>
    </w:p>
    <w:p>
      <w:pPr>
        <w:pStyle w:val="Para 01"/>
      </w:pPr>
      <w:r>
        <w:t xml:space="preserve">when a specified number of concurrent licenses are in use. This capability also produces </w:t>
      </w:r>
    </w:p>
    <w:p>
      <w:pPr>
        <w:pStyle w:val="Para 01"/>
      </w:pPr>
      <w:r>
        <w:t xml:space="preserve">a means of measuring the usage of applications. In many cases, you can extend this functionality to define restrictions and collect access times for specified Web sites or </w:t>
      </w:r>
    </w:p>
    <w:p>
      <w:pPr>
        <w:pStyle w:val="Para 01"/>
      </w:pPr>
      <w:r>
        <w:t xml:space="preserve">Web-based applications. </w:t>
      </w:r>
    </w:p>
    <w:p>
      <w:pPr>
        <w:pStyle w:val="Para 25"/>
      </w:pPr>
      <w:r>
        <w:t/>
      </w:r>
    </w:p>
    <w:p>
      <w:pPr>
        <w:pStyle w:val="Para 04"/>
      </w:pPr>
      <w:r>
        <w:t xml:space="preserve">• </w:t>
        <w:t xml:space="preserve">Keep applications running—Help desk calls may be minimized and user productivity is </w:t>
      </w:r>
    </w:p>
    <w:p>
      <w:pPr>
        <w:pStyle w:val="Para 01"/>
      </w:pPr>
      <w:r>
        <w:t xml:space="preserve">maximized when the applications supporting their work run reliably. You can take advantage of the self-healing nature of Windows Installer (MSI) installations to avoid </w:t>
      </w:r>
    </w:p>
    <w:p>
      <w:pPr>
        <w:pStyle w:val="Para 01"/>
      </w:pPr>
      <w:r>
        <w:t xml:space="preserve">failure as a result of file corruption, deletion, or versioning discrepancies.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3" name="index-22_1.png" descr="index-22_1.png"/>
            <wp:cNvGraphicFramePr>
              <a:graphicFrameLocks noChangeAspect="1"/>
            </wp:cNvGraphicFramePr>
            <a:graphic>
              <a:graphicData uri="http://schemas.openxmlformats.org/drawingml/2006/picture">
                <pic:pic>
                  <pic:nvPicPr>
                    <pic:cNvPr id="0" name="index-22_1.png" descr="index-22_1.png"/>
                    <pic:cNvPicPr/>
                  </pic:nvPicPr>
                  <pic:blipFill>
                    <a:blip r:embed="rId4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4" name="index-22_2.png" descr="index-22_2.png"/>
            <wp:cNvGraphicFramePr>
              <a:graphicFrameLocks noChangeAspect="1"/>
            </wp:cNvGraphicFramePr>
            <a:graphic>
              <a:graphicData uri="http://schemas.openxmlformats.org/drawingml/2006/picture">
                <pic:pic>
                  <pic:nvPicPr>
                    <pic:cNvPr id="0" name="index-22_2.png" descr="index-22_2.png"/>
                    <pic:cNvPicPr/>
                  </pic:nvPicPr>
                  <pic:blipFill>
                    <a:blip r:embed="rId48"/>
                    <a:stretch>
                      <a:fillRect/>
                    </a:stretch>
                  </pic:blipFill>
                  <pic:spPr>
                    <a:xfrm>
                      <a:off x="0" y="0"/>
                      <a:ext cx="914400" cy="444500"/>
                    </a:xfrm>
                    <a:prstGeom prst="rect">
                      <a:avLst/>
                    </a:prstGeom>
                  </pic:spPr>
                </pic:pic>
              </a:graphicData>
            </a:graphic>
          </wp:anchor>
        </w:drawing>
      </w:r>
    </w:p>
    <w:p>
      <w:pPr>
        <w:pStyle w:val="0 Block"/>
      </w:pPr>
    </w:p>
    <w:p>
      <w:bookmarkStart w:id="24" w:name="Chapter_1_9"/>
      <w:pPr>
        <w:pStyle w:val="Heading 1"/>
        <w:pageBreakBefore w:val="on"/>
      </w:pPr>
      <w:r>
        <w:t>Chapter 1</w:t>
      </w:r>
      <w:bookmarkEnd w:id="24"/>
    </w:p>
    <w:p>
      <w:pPr>
        <w:pStyle w:val="Para 25"/>
      </w:pPr>
      <w:r>
        <w:t/>
      </w:r>
    </w:p>
    <w:p>
      <w:pPr>
        <w:pStyle w:val="Para 04"/>
      </w:pPr>
      <w:r>
        <w:t xml:space="preserve">• Virus management—The presence of a damaging virus on one of your systems can </w:t>
      </w:r>
    </w:p>
    <w:p>
      <w:pPr>
        <w:pStyle w:val="Para 01"/>
      </w:pPr>
      <w:r>
        <w:t xml:space="preserve">quickly become the presence of a damaging virus on all of your systems. Ensuring that </w:t>
      </w:r>
    </w:p>
    <w:p>
      <w:pPr>
        <w:pStyle w:val="Para 01"/>
      </w:pPr>
      <w:r>
        <w:t xml:space="preserve">systems are up to date with the latest scan engines and the latest virus definitions can save </w:t>
      </w:r>
    </w:p>
    <w:p>
      <w:pPr>
        <w:pStyle w:val="Para 01"/>
      </w:pPr>
      <w:r>
        <w:t xml:space="preserve">your network from disaster. </w:t>
      </w:r>
    </w:p>
    <w:p>
      <w:pPr>
        <w:pStyle w:val="Para 25"/>
      </w:pPr>
      <w:r>
        <w:t/>
      </w:r>
    </w:p>
    <w:p>
      <w:pPr>
        <w:pStyle w:val="Para 02"/>
      </w:pPr>
      <w:r>
        <w:t xml:space="preserve">These application management topics will be discussed in Chapter 4. </w:t>
      </w:r>
    </w:p>
    <w:p>
      <w:pPr>
        <w:pStyle w:val="Para 25"/>
      </w:pPr>
      <w:r>
        <w:t/>
      </w:r>
    </w:p>
    <w:p>
      <w:pPr>
        <w:pStyle w:val="Para 07"/>
      </w:pPr>
      <w:r>
        <w:t xml:space="preserve">Desktop Security </w:t>
      </w:r>
    </w:p>
    <w:p>
      <w:pPr>
        <w:pStyle w:val="Normal"/>
      </w:pPr>
      <w:r>
        <w:t xml:space="preserve">In addition to system deployment, user settings management, and application management, </w:t>
      </w:r>
    </w:p>
    <w:p>
      <w:pPr>
        <w:pStyle w:val="Normal"/>
      </w:pPr>
      <w:r>
        <w:t xml:space="preserve">desktop administration encompasses desktop security. Effectively managing desktop security can keep users from causing problems through improper configuration or installation of software. </w:t>
      </w:r>
    </w:p>
    <w:p>
      <w:pPr>
        <w:pStyle w:val="Normal"/>
      </w:pPr>
      <w:r>
        <w:t xml:space="preserve">Solid desktop administration security practices include taking advantage of third-party logon </w:t>
      </w:r>
    </w:p>
    <w:p>
      <w:pPr>
        <w:pStyle w:val="Normal"/>
      </w:pPr>
      <w:r>
        <w:t xml:space="preserve">solutions, file and registry access control, the restriction of user rights, and limited peripheral </w:t>
      </w:r>
    </w:p>
    <w:p>
      <w:pPr>
        <w:pStyle w:val="Normal"/>
      </w:pPr>
      <w:r>
        <w:t xml:space="preserve">device access. </w:t>
      </w:r>
    </w:p>
    <w:p>
      <w:pPr>
        <w:pStyle w:val="Para 25"/>
      </w:pPr>
      <w:r>
        <w:t/>
      </w:r>
    </w:p>
    <w:p>
      <w:pPr>
        <w:pStyle w:val="Para 04"/>
      </w:pPr>
      <w:r>
        <w:t xml:space="preserve">• </w:t>
        <w:t xml:space="preserve">Third-party logon alternatives—Policies and system restrictions that enforce complex </w:t>
      </w:r>
    </w:p>
    <w:p>
      <w:pPr>
        <w:pStyle w:val="Para 01"/>
      </w:pPr>
      <w:r>
        <w:t xml:space="preserve">passwords might not be enough in your environment. Access cards and biometric devices </w:t>
      </w:r>
    </w:p>
    <w:p>
      <w:pPr>
        <w:pStyle w:val="Para 01"/>
      </w:pPr>
      <w:r>
        <w:t xml:space="preserve">(for example, fingerprint, speech, and face recognition devices) are available to provide </w:t>
      </w:r>
    </w:p>
    <w:p>
      <w:pPr>
        <w:pStyle w:val="Para 01"/>
      </w:pPr>
      <w:r>
        <w:t xml:space="preserve">added security to control desktop access. </w:t>
      </w:r>
    </w:p>
    <w:p>
      <w:pPr>
        <w:pStyle w:val="Para 25"/>
      </w:pPr>
      <w:r>
        <w:t/>
      </w:r>
    </w:p>
    <w:p>
      <w:pPr>
        <w:pStyle w:val="Para 04"/>
      </w:pPr>
      <w:r>
        <w:t xml:space="preserve">• File and registry access control—If you want all data stored on a server for ease of </w:t>
      </w:r>
    </w:p>
    <w:p>
      <w:pPr>
        <w:pStyle w:val="Para 01"/>
      </w:pPr>
      <w:r>
        <w:t xml:space="preserve">backup and recovery, simply directing users to put their data on that server might not be </w:t>
      </w:r>
    </w:p>
    <w:p>
      <w:pPr>
        <w:pStyle w:val="Para 01"/>
      </w:pPr>
      <w:r>
        <w:t xml:space="preserve">enough. Either intentionally or through ignorance, users might continue to store data on </w:t>
      </w:r>
    </w:p>
    <w:p>
      <w:pPr>
        <w:pStyle w:val="Para 01"/>
      </w:pPr>
      <w:r>
        <w:t xml:space="preserve">their local systems (despite your direction) unless their ability to do so is hindered through proper security configuration. Further benefits of file and registry access control </w:t>
      </w:r>
    </w:p>
    <w:p>
      <w:pPr>
        <w:pStyle w:val="Para 01"/>
      </w:pPr>
      <w:r>
        <w:t xml:space="preserve">include the ability to restrict software installation and the prevention of the proliferation </w:t>
      </w:r>
    </w:p>
    <w:p>
      <w:pPr>
        <w:pStyle w:val="Para 01"/>
      </w:pPr>
      <w:r>
        <w:t xml:space="preserve">of viruses. </w:t>
      </w:r>
    </w:p>
    <w:p>
      <w:pPr>
        <w:pStyle w:val="Para 25"/>
      </w:pPr>
      <w:r>
        <w:t/>
      </w:r>
    </w:p>
    <w:p>
      <w:pPr>
        <w:pStyle w:val="Para 04"/>
      </w:pPr>
      <w:r>
        <w:t xml:space="preserve">• </w:t>
        <w:t xml:space="preserve">Restriction of user rights—Windows provides two distinct controls when it comes to </w:t>
      </w:r>
    </w:p>
    <w:p>
      <w:pPr>
        <w:pStyle w:val="Para 01"/>
      </w:pPr>
      <w:r>
        <w:t xml:space="preserve">security: permissions (to access and change the file system and registry) and rights. </w:t>
      </w:r>
    </w:p>
    <w:p>
      <w:pPr>
        <w:pStyle w:val="Para 01"/>
      </w:pPr>
      <w:r>
        <w:t xml:space="preserve">Rights dictate what a user is allowed (and not allowed) to do on the system. For example, </w:t>
      </w:r>
    </w:p>
    <w:p>
      <w:pPr>
        <w:pStyle w:val="Para 01"/>
      </w:pPr>
      <w:r>
        <w:t xml:space="preserve">a commonly restricted right is the right to change the system time. Although this </w:t>
      </w:r>
    </w:p>
    <w:p>
      <w:pPr>
        <w:pStyle w:val="Para 01"/>
      </w:pPr>
      <w:r>
        <w:t xml:space="preserve">limitation might seem an inconvenience to some, the effectiveness of security logs and audit logs can be greatly diminished by allowing users to perform such a change to the </w:t>
      </w:r>
    </w:p>
    <w:p>
      <w:pPr>
        <w:pStyle w:val="Para 01"/>
      </w:pPr>
      <w:r>
        <w:t xml:space="preserve">system. </w:t>
      </w:r>
    </w:p>
    <w:p>
      <w:pPr>
        <w:pStyle w:val="Para 25"/>
      </w:pPr>
      <w:r>
        <w:t/>
      </w:r>
    </w:p>
    <w:p>
      <w:pPr>
        <w:pStyle w:val="Para 04"/>
      </w:pPr>
      <w:r>
        <w:t xml:space="preserve">• </w:t>
        <w:t xml:space="preserve">Peripheral device access—One way to take a step toward limiting exposure to viruses and </w:t>
      </w:r>
    </w:p>
    <w:p>
      <w:pPr>
        <w:pStyle w:val="Para 01"/>
      </w:pPr>
      <w:r>
        <w:t xml:space="preserve">stopping users from installing software is to limit the use of peripheral devices. One often overlooked way around device access restrictions is the potential for new devices to be </w:t>
      </w:r>
    </w:p>
    <w:p>
      <w:pPr>
        <w:pStyle w:val="Para 01"/>
      </w:pPr>
      <w:r>
        <w:t xml:space="preserve">easily attached to the system. A USB storage device might be automatically recognized </w:t>
      </w:r>
    </w:p>
    <w:p>
      <w:pPr>
        <w:pStyle w:val="Para 01"/>
      </w:pPr>
      <w:r>
        <w:t xml:space="preserve">by the system, bypassing your efforts to restrict peripheral device access. </w:t>
      </w:r>
    </w:p>
    <w:p>
      <w:pPr>
        <w:pStyle w:val="Para 25"/>
      </w:pPr>
      <w:r>
        <w:t/>
      </w:r>
    </w:p>
    <w:p>
      <w:pPr>
        <w:pStyle w:val="Para 02"/>
      </w:pPr>
      <w:r>
        <w:t xml:space="preserve">Enforcement of security restrictions, particularly in the way of limiting or preventing the ability to </w:t>
      </w:r>
    </w:p>
    <w:p>
      <w:pPr>
        <w:pStyle w:val="Para 02"/>
      </w:pPr>
      <w:r>
        <w:t xml:space="preserve">customize or change a system, can cause some users to become quite upset. Remember (and </w:t>
      </w:r>
    </w:p>
    <w:p>
      <w:pPr>
        <w:pStyle w:val="Para 02"/>
      </w:pPr>
      <w:r>
        <w:t xml:space="preserve">perhaps remind users in a tactful way) that these are business computers and not personal </w:t>
      </w:r>
    </w:p>
    <w:p>
      <w:pPr>
        <w:pStyle w:val="Para 02"/>
      </w:pPr>
      <w:r>
        <w:t xml:space="preserve">computers.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5" name="index-23_1.png" descr="index-23_1.png"/>
            <wp:cNvGraphicFramePr>
              <a:graphicFrameLocks noChangeAspect="1"/>
            </wp:cNvGraphicFramePr>
            <a:graphic>
              <a:graphicData uri="http://schemas.openxmlformats.org/drawingml/2006/picture">
                <pic:pic>
                  <pic:nvPicPr>
                    <pic:cNvPr id="0" name="index-23_1.png" descr="index-23_1.png"/>
                    <pic:cNvPicPr/>
                  </pic:nvPicPr>
                  <pic:blipFill>
                    <a:blip r:embed="rId4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6" name="index-23_2.png" descr="index-23_2.png"/>
            <wp:cNvGraphicFramePr>
              <a:graphicFrameLocks noChangeAspect="1"/>
            </wp:cNvGraphicFramePr>
            <a:graphic>
              <a:graphicData uri="http://schemas.openxmlformats.org/drawingml/2006/picture">
                <pic:pic>
                  <pic:nvPicPr>
                    <pic:cNvPr id="0" name="index-23_2.png" descr="index-23_2.png"/>
                    <pic:cNvPicPr/>
                  </pic:nvPicPr>
                  <pic:blipFill>
                    <a:blip r:embed="rId50"/>
                    <a:stretch>
                      <a:fillRect/>
                    </a:stretch>
                  </pic:blipFill>
                  <pic:spPr>
                    <a:xfrm>
                      <a:off x="0" y="0"/>
                      <a:ext cx="914400" cy="444500"/>
                    </a:xfrm>
                    <a:prstGeom prst="rect">
                      <a:avLst/>
                    </a:prstGeom>
                  </pic:spPr>
                </pic:pic>
              </a:graphicData>
            </a:graphic>
          </wp:anchor>
        </w:drawing>
      </w:r>
    </w:p>
    <w:p>
      <w:pPr>
        <w:pStyle w:val="0 Block"/>
      </w:pPr>
    </w:p>
    <w:p>
      <w:bookmarkStart w:id="25" w:name="Chapter_1_10"/>
      <w:pPr>
        <w:pStyle w:val="Heading 1"/>
        <w:pageBreakBefore w:val="on"/>
      </w:pPr>
      <w:r>
        <w:t>Chapter 1</w:t>
      </w:r>
      <w:bookmarkEnd w:id="25"/>
    </w:p>
    <w:p>
      <w:pPr>
        <w:pStyle w:val="Para 25"/>
      </w:pPr>
      <w:r>
        <w:t/>
      </w:r>
    </w:p>
    <w:p>
      <w:pPr>
        <w:pStyle w:val="Para 02"/>
      </w:pPr>
      <w:r>
        <w:t xml:space="preserve">I’ll discuss desktop security in more detail in Chapter 5. </w:t>
      </w:r>
    </w:p>
    <w:p>
      <w:pPr>
        <w:pStyle w:val="Para 25"/>
      </w:pPr>
      <w:r>
        <w:t/>
      </w:r>
    </w:p>
    <w:p>
      <w:pPr>
        <w:pStyle w:val="Para 07"/>
      </w:pPr>
      <w:r>
        <w:t xml:space="preserve">Desktop Support </w:t>
      </w:r>
    </w:p>
    <w:p>
      <w:pPr>
        <w:pStyle w:val="Normal"/>
      </w:pPr>
      <w:r>
        <w:t xml:space="preserve">Remote control products are one of the most commonly used desktop administration tools. </w:t>
      </w:r>
    </w:p>
    <w:p>
      <w:pPr>
        <w:pStyle w:val="Normal"/>
      </w:pPr>
      <w:r>
        <w:t xml:space="preserve">Saving the time it takes to walk, drive, or fly to remote workstations has many obvious benefits. Through use of a remote control product, you may “take over” a user’s desktop remotely and </w:t>
      </w:r>
    </w:p>
    <w:p>
      <w:pPr>
        <w:pStyle w:val="Normal"/>
      </w:pPr>
      <w:r>
        <w:t xml:space="preserve">correct a problem or demonstrate how to perform an action without having to leave your chair. </w:t>
      </w:r>
    </w:p>
    <w:p>
      <w:pPr>
        <w:pStyle w:val="Para 25"/>
      </w:pPr>
      <w:r>
        <w:t/>
      </w:r>
    </w:p>
    <w:p>
      <w:pPr>
        <w:pStyle w:val="Normal"/>
      </w:pPr>
      <w:r>
        <w:t xml:space="preserve">The ability to remotely take over the desktop of a remote system is known as remote control. A call on the phone to report a problem can often lead to a manual visit, even if the user is able to </w:t>
      </w:r>
    </w:p>
    <w:p>
      <w:pPr>
        <w:pStyle w:val="Normal"/>
      </w:pPr>
      <w:r>
        <w:t xml:space="preserve">articulate his or her problem well. For functions such as software installation and settings </w:t>
      </w:r>
    </w:p>
    <w:p>
      <w:pPr>
        <w:pStyle w:val="Normal"/>
      </w:pPr>
      <w:r>
        <w:t xml:space="preserve">management, there are solutions that we will discuss that provide far more efficient and targeted </w:t>
      </w:r>
    </w:p>
    <w:p>
      <w:pPr>
        <w:pStyle w:val="Normal"/>
      </w:pPr>
      <w:r>
        <w:t xml:space="preserve">solutions. However, when you need to perform a “one off” action with administrative privileges because you need to show them something (rather than try to explain it), or you simply need to </w:t>
      </w:r>
    </w:p>
    <w:p>
      <w:pPr>
        <w:pStyle w:val="Normal"/>
      </w:pPr>
      <w:r>
        <w:t xml:space="preserve">see something with your own eyes, there is no tool more valuable than a remote control utility. </w:t>
      </w:r>
    </w:p>
    <w:p>
      <w:pPr>
        <w:pStyle w:val="Para 25"/>
      </w:pPr>
      <w:r>
        <w:t/>
      </w:r>
    </w:p>
    <w:p>
      <w:pPr>
        <w:pStyle w:val="Normal"/>
      </w:pPr>
      <w:r>
        <w:t xml:space="preserve">In addition, a remote execution service or tool, even the built-in Windows Task Scheduler, can be a very powerful solution. The ability to remotely execute a command could mean </w:t>
      </w:r>
    </w:p>
    <w:p>
      <w:pPr>
        <w:pStyle w:val="Normal"/>
      </w:pPr>
      <w:r>
        <w:t xml:space="preserve">implementing a fix across thousands of machines without a need to visit them. Even when you </w:t>
      </w:r>
    </w:p>
    <w:p>
      <w:pPr>
        <w:pStyle w:val="Normal"/>
      </w:pPr>
      <w:r>
        <w:t xml:space="preserve">only need to work with a couple of computers, this capability can save you from multiple trips of varying distances. </w:t>
      </w:r>
    </w:p>
    <w:p>
      <w:pPr>
        <w:pStyle w:val="Para 25"/>
      </w:pPr>
      <w:r>
        <w:t/>
      </w:r>
    </w:p>
    <w:p>
      <w:pPr>
        <w:pStyle w:val="Normal"/>
      </w:pPr>
      <w:r>
        <w:t xml:space="preserve">Another desktop administration support option is the ability to shut down and turn on computers </w:t>
      </w:r>
    </w:p>
    <w:p>
      <w:pPr>
        <w:pStyle w:val="Normal"/>
      </w:pPr>
      <w:r>
        <w:t xml:space="preserve">over the network through Wake on LAN (WoL) support. By taking advantage of this capability, </w:t>
      </w:r>
    </w:p>
    <w:p>
      <w:pPr>
        <w:pStyle w:val="Normal"/>
      </w:pPr>
      <w:r>
        <w:t xml:space="preserve">you can save power at night by shutting down all systems on the network and still perform those nightly maintenance tasks by turning on the necessary systems. </w:t>
      </w:r>
    </w:p>
    <w:p>
      <w:pPr>
        <w:pStyle w:val="Para 25"/>
      </w:pPr>
      <w:r>
        <w:t/>
      </w:r>
    </w:p>
    <w:p>
      <w:pPr>
        <w:pStyle w:val="Normal"/>
      </w:pPr>
      <w:r>
        <w:t xml:space="preserve">Finally, you can avoid problems by using proactive alerts for critical conditions and advise </w:t>
      </w:r>
    </w:p>
    <w:p>
      <w:pPr>
        <w:pStyle w:val="Normal"/>
      </w:pPr>
      <w:r>
        <w:t xml:space="preserve">administrators of problems before the calls start coming in. Event notification and alert software can help you head off and even prevent problems. </w:t>
      </w:r>
    </w:p>
    <w:p>
      <w:pPr>
        <w:pStyle w:val="Para 25"/>
      </w:pPr>
      <w:r>
        <w:t/>
      </w:r>
    </w:p>
    <w:p>
      <w:pPr>
        <w:pStyle w:val="Para 02"/>
      </w:pPr>
      <w:r>
        <w:t xml:space="preserve">We’ll discuss these and related desktop support topics in Chapter 6. </w:t>
      </w:r>
    </w:p>
    <w:p>
      <w:pPr>
        <w:pStyle w:val="Para 25"/>
      </w:pPr>
      <w:r>
        <w:t/>
      </w:r>
    </w:p>
    <w:p>
      <w:pPr>
        <w:pStyle w:val="Para 07"/>
      </w:pPr>
      <w:r>
        <w:t xml:space="preserve">Scripting Custom Solutions </w:t>
      </w:r>
    </w:p>
    <w:p>
      <w:pPr>
        <w:pStyle w:val="Normal"/>
      </w:pPr>
      <w:r>
        <w:t xml:space="preserve">Windows has provided increasing support for the automation of desktop administration tasks from the command line. Aside from those built-in to Windows, the Windows resource kits are </w:t>
      </w:r>
    </w:p>
    <w:p>
      <w:pPr>
        <w:pStyle w:val="Normal"/>
      </w:pPr>
      <w:r>
        <w:t xml:space="preserve">loaded with even more helpful utilities. The Windows Script Host (WSH) provides Windows </w:t>
      </w:r>
    </w:p>
    <w:p>
      <w:pPr>
        <w:pStyle w:val="Normal"/>
      </w:pPr>
      <w:r>
        <w:t xml:space="preserve">with support to run Visual Basic Scripting Edition (VBScript) and JScript. This support has </w:t>
      </w:r>
    </w:p>
    <w:p>
      <w:pPr>
        <w:pStyle w:val="Normal"/>
      </w:pPr>
      <w:r>
        <w:t xml:space="preserve">resulted in an increased use of these languages by administrators. The simpler yet powerful KiXtart scripting language provided in the Windows resource kit provides easy-to-learn syntax </w:t>
      </w:r>
    </w:p>
    <w:p>
      <w:pPr>
        <w:pStyle w:val="Normal"/>
      </w:pPr>
      <w:r>
        <w:t xml:space="preserve">for automating most administrative actions. In addition, you can implement customized scripted </w:t>
      </w:r>
    </w:p>
    <w:p>
      <w:pPr>
        <w:pStyle w:val="Normal"/>
      </w:pPr>
      <w:r>
        <w:t xml:space="preserve">solutions, such as those highlighted in the following list, with little to no scripting knowledge by using tools such as ScriptLogic or WinBatch.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7" name="index-24_1.png" descr="index-24_1.png"/>
            <wp:cNvGraphicFramePr>
              <a:graphicFrameLocks noChangeAspect="1"/>
            </wp:cNvGraphicFramePr>
            <a:graphic>
              <a:graphicData uri="http://schemas.openxmlformats.org/drawingml/2006/picture">
                <pic:pic>
                  <pic:nvPicPr>
                    <pic:cNvPr id="0" name="index-24_1.png" descr="index-24_1.png"/>
                    <pic:cNvPicPr/>
                  </pic:nvPicPr>
                  <pic:blipFill>
                    <a:blip r:embed="rId5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8" name="index-24_2.png" descr="index-24_2.png"/>
            <wp:cNvGraphicFramePr>
              <a:graphicFrameLocks noChangeAspect="1"/>
            </wp:cNvGraphicFramePr>
            <a:graphic>
              <a:graphicData uri="http://schemas.openxmlformats.org/drawingml/2006/picture">
                <pic:pic>
                  <pic:nvPicPr>
                    <pic:cNvPr id="0" name="index-24_2.png" descr="index-24_2.png"/>
                    <pic:cNvPicPr/>
                  </pic:nvPicPr>
                  <pic:blipFill>
                    <a:blip r:embed="rId52"/>
                    <a:stretch>
                      <a:fillRect/>
                    </a:stretch>
                  </pic:blipFill>
                  <pic:spPr>
                    <a:xfrm>
                      <a:off x="0" y="0"/>
                      <a:ext cx="914400" cy="444500"/>
                    </a:xfrm>
                    <a:prstGeom prst="rect">
                      <a:avLst/>
                    </a:prstGeom>
                  </pic:spPr>
                </pic:pic>
              </a:graphicData>
            </a:graphic>
          </wp:anchor>
        </w:drawing>
      </w:r>
    </w:p>
    <w:p>
      <w:pPr>
        <w:pStyle w:val="0 Block"/>
      </w:pPr>
    </w:p>
    <w:p>
      <w:bookmarkStart w:id="26" w:name="Chapter_1_11"/>
      <w:pPr>
        <w:pStyle w:val="Heading 1"/>
        <w:pageBreakBefore w:val="on"/>
      </w:pPr>
      <w:r>
        <w:t>Chapter 1</w:t>
      </w:r>
      <w:bookmarkEnd w:id="26"/>
    </w:p>
    <w:p>
      <w:pPr>
        <w:pStyle w:val="Para 25"/>
      </w:pPr>
      <w:r>
        <w:t/>
      </w:r>
    </w:p>
    <w:p>
      <w:pPr>
        <w:pStyle w:val="Para 04"/>
      </w:pPr>
      <w:r>
        <w:t xml:space="preserve">• </w:t>
        <w:t xml:space="preserve">Logon and logoff scripts—When you want to automate a task for a user, logon and logoff </w:t>
      </w:r>
    </w:p>
    <w:p>
      <w:pPr>
        <w:pStyle w:val="Para 01"/>
      </w:pPr>
      <w:r>
        <w:t xml:space="preserve">scripts are available to trigger such actions. The system executes the logon script </w:t>
      </w:r>
    </w:p>
    <w:p>
      <w:pPr>
        <w:pStyle w:val="Para 01"/>
      </w:pPr>
      <w:r>
        <w:t>automatically during the logon process, and this script can be used to perform user-</w:t>
      </w:r>
    </w:p>
    <w:p>
      <w:pPr>
        <w:pStyle w:val="Para 01"/>
      </w:pPr>
      <w:r>
        <w:t xml:space="preserve">centric actions mapping network resources such as drives and printers. Want to clear the Recycle Bin or perform a file backup of user profile data? The logoff script provides an </w:t>
      </w:r>
    </w:p>
    <w:p>
      <w:pPr>
        <w:pStyle w:val="Para 01"/>
      </w:pPr>
      <w:r>
        <w:t xml:space="preserve">excellent opportunity to perform such actions. </w:t>
      </w:r>
    </w:p>
    <w:p>
      <w:pPr>
        <w:pStyle w:val="Para 25"/>
      </w:pPr>
      <w:r>
        <w:t/>
      </w:r>
    </w:p>
    <w:p>
      <w:pPr>
        <w:pStyle w:val="Para 04"/>
      </w:pPr>
      <w:r>
        <w:t xml:space="preserve">• Startup and shutdown scripts—When you want to automate a task for a system, the </w:t>
      </w:r>
    </w:p>
    <w:p>
      <w:pPr>
        <w:pStyle w:val="Para 01"/>
      </w:pPr>
      <w:r>
        <w:t xml:space="preserve">startup and shutdown scripts are available to trigger such actions. The system executes the startup script automatically during the startup process before the user is presented </w:t>
      </w:r>
    </w:p>
    <w:p>
      <w:pPr>
        <w:pStyle w:val="Para 01"/>
      </w:pPr>
      <w:r>
        <w:t xml:space="preserve">with the option to log on to the computer. The shutdown script performs its actions </w:t>
      </w:r>
    </w:p>
    <w:p>
      <w:pPr>
        <w:pStyle w:val="Para 01"/>
      </w:pPr>
      <w:r>
        <w:t xml:space="preserve">during the shutdown of the system. Both perform actions in the security context of the local system account, which allows for the triggering of actions users might not have the </w:t>
      </w:r>
    </w:p>
    <w:p>
      <w:pPr>
        <w:pStyle w:val="Para 01"/>
      </w:pPr>
      <w:r>
        <w:t xml:space="preserve">permissions to perform (for example, software installations or system level changes). </w:t>
      </w:r>
    </w:p>
    <w:p>
      <w:pPr>
        <w:pStyle w:val="Para 25"/>
      </w:pPr>
      <w:r>
        <w:t/>
      </w:r>
    </w:p>
    <w:p>
      <w:pPr>
        <w:pStyle w:val="Para 02"/>
      </w:pPr>
      <w:r>
        <w:t xml:space="preserve">Though support for logoff, startup, and shutdown scripts has only recently been introduced as a </w:t>
      </w:r>
    </w:p>
    <w:p>
      <w:pPr>
        <w:pStyle w:val="Para 02"/>
      </w:pPr>
      <w:r>
        <w:t xml:space="preserve">standard feature of Windows (NT and earlier do not provide native support), there are third-party tools </w:t>
      </w:r>
    </w:p>
    <w:p>
      <w:pPr>
        <w:pStyle w:val="Para 02"/>
      </w:pPr>
      <w:r>
        <w:t xml:space="preserve">that offer similar functionality, including ScriptLogic and ShutdownPlus from WM Software. </w:t>
      </w:r>
    </w:p>
    <w:p>
      <w:pPr>
        <w:pStyle w:val="Para 25"/>
      </w:pPr>
      <w:r>
        <w:t/>
      </w:r>
    </w:p>
    <w:p>
      <w:pPr>
        <w:pStyle w:val="Para 04"/>
      </w:pPr>
      <w:r>
        <w:t xml:space="preserve">• </w:t>
        <w:t xml:space="preserve">Automation scripts—Migrating user data, creating accounts, checking for files, and most </w:t>
      </w:r>
    </w:p>
    <w:p>
      <w:pPr>
        <w:pStyle w:val="Para 01"/>
      </w:pPr>
      <w:r>
        <w:t xml:space="preserve">other repetitive tasks provide an excellent opportunity for automation via a custom script. </w:t>
      </w:r>
    </w:p>
    <w:p>
      <w:pPr>
        <w:pStyle w:val="Para 25"/>
      </w:pPr>
      <w:r>
        <w:t/>
      </w:r>
    </w:p>
    <w:p>
      <w:pPr>
        <w:pStyle w:val="Para 02"/>
      </w:pPr>
      <w:r>
        <w:t xml:space="preserve">I’ll cover scripting custom solutions in more detail in Chapter 7. </w:t>
      </w:r>
    </w:p>
    <w:p>
      <w:pPr>
        <w:pStyle w:val="Para 25"/>
      </w:pPr>
      <w:r>
        <w:t/>
      </w:r>
    </w:p>
    <w:p>
      <w:pPr>
        <w:pStyle w:val="Para 07"/>
      </w:pPr>
      <w:r>
        <w:t xml:space="preserve">Asset Management </w:t>
      </w:r>
    </w:p>
    <w:p>
      <w:pPr>
        <w:pStyle w:val="Normal"/>
      </w:pPr>
      <w:r>
        <w:t xml:space="preserve">Do you have enough licenses? Do you have too many licenses? You have four copies of a </w:t>
      </w:r>
    </w:p>
    <w:p>
      <w:pPr>
        <w:pStyle w:val="Normal"/>
      </w:pPr>
      <w:r>
        <w:t xml:space="preserve">program—where are those copies installed? Are they being used? Keeping a tight grip on asset </w:t>
      </w:r>
    </w:p>
    <w:p>
      <w:pPr>
        <w:pStyle w:val="Normal"/>
      </w:pPr>
      <w:r>
        <w:t xml:space="preserve">management can provide you with quick answers to these questions, helping to save money and avoid potentially steep fines for violating license agreements (which are far more than the cost of </w:t>
      </w:r>
    </w:p>
    <w:p>
      <w:pPr>
        <w:pStyle w:val="Normal"/>
      </w:pPr>
      <w:r>
        <w:t xml:space="preserve">implementing an asset management solution). </w:t>
      </w:r>
    </w:p>
    <w:p>
      <w:pPr>
        <w:pStyle w:val="Para 25"/>
      </w:pPr>
      <w:r>
        <w:t/>
      </w:r>
    </w:p>
    <w:p>
      <w:pPr>
        <w:pStyle w:val="Normal"/>
      </w:pPr>
      <w:r>
        <w:t xml:space="preserve">Often, you review software inventory and licensing reports to make sure that enough licenses </w:t>
      </w:r>
    </w:p>
    <w:p>
      <w:pPr>
        <w:pStyle w:val="Normal"/>
      </w:pPr>
      <w:r>
        <w:t xml:space="preserve">have been purchased. However, just as costly and sometimes less apparent, is that you have purchased too many licenses. If software is not being used, why pay for it? You could save a </w:t>
      </w:r>
    </w:p>
    <w:p>
      <w:pPr>
        <w:pStyle w:val="Normal"/>
      </w:pPr>
      <w:r>
        <w:t xml:space="preserve">substantial amount of money by taking licenses from those who do not need them instead of just </w:t>
      </w:r>
    </w:p>
    <w:p>
      <w:pPr>
        <w:pStyle w:val="Normal"/>
      </w:pPr>
      <w:r>
        <w:t xml:space="preserve">continuing to buy more. When it comes time to purchase an upgrade or new version, you can use solid asset management processes to determine how many you need to purchase. </w:t>
      </w:r>
    </w:p>
    <w:p>
      <w:pPr>
        <w:pStyle w:val="Para 25"/>
      </w:pPr>
      <w:r>
        <w:t/>
      </w:r>
    </w:p>
    <w:p>
      <w:pPr>
        <w:pStyle w:val="Para 02"/>
      </w:pPr>
      <w:r>
        <w:t xml:space="preserve">In Chapter 8, we’ll explore asset management.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9" name="index-25_1.png" descr="index-25_1.png"/>
            <wp:cNvGraphicFramePr>
              <a:graphicFrameLocks noChangeAspect="1"/>
            </wp:cNvGraphicFramePr>
            <a:graphic>
              <a:graphicData uri="http://schemas.openxmlformats.org/drawingml/2006/picture">
                <pic:pic>
                  <pic:nvPicPr>
                    <pic:cNvPr id="0" name="index-25_1.png" descr="index-25_1.png"/>
                    <pic:cNvPicPr/>
                  </pic:nvPicPr>
                  <pic:blipFill>
                    <a:blip r:embed="rId5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50" name="index-25_2.png" descr="index-25_2.png"/>
            <wp:cNvGraphicFramePr>
              <a:graphicFrameLocks noChangeAspect="1"/>
            </wp:cNvGraphicFramePr>
            <a:graphic>
              <a:graphicData uri="http://schemas.openxmlformats.org/drawingml/2006/picture">
                <pic:pic>
                  <pic:nvPicPr>
                    <pic:cNvPr id="0" name="index-25_2.png" descr="index-25_2.png"/>
                    <pic:cNvPicPr/>
                  </pic:nvPicPr>
                  <pic:blipFill>
                    <a:blip r:embed="rId54"/>
                    <a:stretch>
                      <a:fillRect/>
                    </a:stretch>
                  </pic:blipFill>
                  <pic:spPr>
                    <a:xfrm>
                      <a:off x="0" y="0"/>
                      <a:ext cx="914400" cy="444500"/>
                    </a:xfrm>
                    <a:prstGeom prst="rect">
                      <a:avLst/>
                    </a:prstGeom>
                  </pic:spPr>
                </pic:pic>
              </a:graphicData>
            </a:graphic>
          </wp:anchor>
        </w:drawing>
      </w:r>
    </w:p>
    <w:p>
      <w:pPr>
        <w:pStyle w:val="0 Block"/>
      </w:pPr>
    </w:p>
    <w:p>
      <w:bookmarkStart w:id="27" w:name="Chapter_1_12"/>
      <w:pPr>
        <w:pStyle w:val="Heading 1"/>
        <w:pageBreakBefore w:val="on"/>
      </w:pPr>
      <w:r>
        <w:t>Chapter 1</w:t>
      </w:r>
      <w:bookmarkEnd w:id="27"/>
    </w:p>
    <w:p>
      <w:pPr>
        <w:pStyle w:val="Para 25"/>
      </w:pPr>
      <w:r>
        <w:t/>
      </w:r>
    </w:p>
    <w:p>
      <w:pPr>
        <w:pStyle w:val="Para 12"/>
      </w:pPr>
      <w:r>
        <w:t xml:space="preserve">The Politics of Desktop Administration </w:t>
      </w:r>
    </w:p>
    <w:p>
      <w:pPr>
        <w:pStyle w:val="Para 25"/>
      </w:pPr>
      <w:r>
        <w:t/>
      </w:r>
    </w:p>
    <w:p>
      <w:pPr>
        <w:pStyle w:val="Normal"/>
      </w:pPr>
      <w:r>
        <w:t xml:space="preserve">An oft-overlooked aspect of desktop administration is politics. It can be frustrating to be in a </w:t>
      </w:r>
    </w:p>
    <w:p>
      <w:pPr>
        <w:pStyle w:val="Normal"/>
      </w:pPr>
      <w:r>
        <w:t xml:space="preserve">situation in which you cannot make a change you feel is necessary as a result of the political </w:t>
      </w:r>
    </w:p>
    <w:p>
      <w:pPr>
        <w:pStyle w:val="Normal"/>
      </w:pPr>
      <w:r>
        <w:t xml:space="preserve">setup in your company. Determining who has ownership and control of the network and its resources can cause problems in some organizations, particularly in situations in which there are </w:t>
      </w:r>
    </w:p>
    <w:p>
      <w:pPr>
        <w:pStyle w:val="Normal"/>
      </w:pPr>
      <w:r>
        <w:t xml:space="preserve">remote sites that employ their own administrators. In this section, I’ll explain how establishing </w:t>
      </w:r>
    </w:p>
    <w:p>
      <w:pPr>
        <w:pStyle w:val="Normal"/>
      </w:pPr>
      <w:r>
        <w:t xml:space="preserve">responsibilities and providing appropriate access can go a long way in minimizing problems </w:t>
      </w:r>
    </w:p>
    <w:p>
      <w:pPr>
        <w:pStyle w:val="Normal"/>
      </w:pPr>
      <w:r>
        <w:t xml:space="preserve">between business groups. In addition, you will be better able to implement strong desktop administration practices if you consider how decisions will affect users, how control is delegated, </w:t>
      </w:r>
    </w:p>
    <w:p>
      <w:pPr>
        <w:pStyle w:val="Normal"/>
      </w:pPr>
      <w:r>
        <w:t xml:space="preserve">and how you plan to work with users to ensure success. </w:t>
      </w:r>
    </w:p>
    <w:p>
      <w:pPr>
        <w:pStyle w:val="Para 25"/>
      </w:pPr>
      <w:r>
        <w:t/>
      </w:r>
    </w:p>
    <w:p>
      <w:pPr>
        <w:pStyle w:val="Para 07"/>
      </w:pPr>
      <w:r>
        <w:t xml:space="preserve">Making Decisions that Affect Users </w:t>
      </w:r>
    </w:p>
    <w:p>
      <w:pPr>
        <w:pStyle w:val="Normal"/>
      </w:pPr>
      <w:r>
        <w:t xml:space="preserve">Someone or some group of people must have the final say in what can be done on a network. If </w:t>
      </w:r>
    </w:p>
    <w:p>
      <w:pPr>
        <w:pStyle w:val="Normal"/>
      </w:pPr>
      <w:r>
        <w:t xml:space="preserve">the ability of users to install software on their systems is causing problems, can you simply take that ability away? If you want to take control of a workstation, do you have to ask first? It is </w:t>
      </w:r>
    </w:p>
    <w:p>
      <w:pPr>
        <w:pStyle w:val="Normal"/>
      </w:pPr>
      <w:r>
        <w:t xml:space="preserve">these types of issues that must be identified and documented by each organization. </w:t>
      </w:r>
    </w:p>
    <w:p>
      <w:pPr>
        <w:pStyle w:val="Para 25"/>
      </w:pPr>
      <w:r>
        <w:t/>
      </w:r>
    </w:p>
    <w:p>
      <w:pPr>
        <w:pStyle w:val="Normal"/>
      </w:pPr>
      <w:r>
        <w:t xml:space="preserve">For example, any limitations imposed on users are very likely to cause complaints. In such situations, it is not normally the role of the administrator to make the decision to implement </w:t>
      </w:r>
    </w:p>
    <w:p>
      <w:pPr>
        <w:pStyle w:val="Normal"/>
      </w:pPr>
      <w:r>
        <w:t xml:space="preserve">limitations, but simply to recommend and then enforce those decisions. Having this type of </w:t>
      </w:r>
    </w:p>
    <w:p>
      <w:pPr>
        <w:pStyle w:val="Normal"/>
      </w:pPr>
      <w:r>
        <w:t xml:space="preserve">delegation ensures that users have an outlet other than the Help desk to voice non-IT complaints. </w:t>
      </w:r>
    </w:p>
    <w:p>
      <w:pPr>
        <w:pStyle w:val="Para 25"/>
      </w:pPr>
      <w:r>
        <w:t/>
      </w:r>
    </w:p>
    <w:p>
      <w:pPr>
        <w:pStyle w:val="Normal"/>
      </w:pPr>
      <w:r>
        <w:t xml:space="preserve">If users want administrative control over their workstations, they might come to you, the </w:t>
      </w:r>
    </w:p>
    <w:p>
      <w:pPr>
        <w:pStyle w:val="Normal"/>
      </w:pPr>
      <w:r>
        <w:t xml:space="preserve">administrator, for that access. Without an established process in place, it might be difficult to </w:t>
      </w:r>
    </w:p>
    <w:p>
      <w:pPr>
        <w:pStyle w:val="Normal"/>
      </w:pPr>
      <w:r>
        <w:t xml:space="preserve">point the user elsewhere for permission to make such a change. This situation has been the </w:t>
      </w:r>
    </w:p>
    <w:p>
      <w:pPr>
        <w:pStyle w:val="Normal"/>
      </w:pPr>
      <w:r>
        <w:t xml:space="preserve">downfall of many networks. Without a reason to say no to users’ request for administrative control, over time, there can easily become too many individuals with administrative control and </w:t>
      </w:r>
    </w:p>
    <w:p>
      <w:pPr>
        <w:pStyle w:val="Normal"/>
      </w:pPr>
      <w:r>
        <w:t xml:space="preserve">configuration management is lost. You can avoid such a situation by establishing how decisions </w:t>
      </w:r>
    </w:p>
    <w:p>
      <w:pPr>
        <w:pStyle w:val="Normal"/>
      </w:pPr>
      <w:r>
        <w:t xml:space="preserve">are made that affect users’ systems. </w:t>
      </w:r>
    </w:p>
    <w:p>
      <w:pPr>
        <w:pStyle w:val="Para 25"/>
      </w:pPr>
      <w:r>
        <w:t/>
      </w:r>
    </w:p>
    <w:p>
      <w:pPr>
        <w:pStyle w:val="Para 02"/>
      </w:pPr>
      <w:r>
        <w:t xml:space="preserve">Particularly in environments in which users have had unrestricted control of their systems, change in </w:t>
      </w:r>
    </w:p>
    <w:p>
      <w:pPr>
        <w:pStyle w:val="Para 02"/>
      </w:pPr>
      <w:r>
        <w:t xml:space="preserve">the way of implementing restrictions can mean loud complaints. Be sure to have management </w:t>
      </w:r>
    </w:p>
    <w:p>
      <w:pPr>
        <w:pStyle w:val="Para 02"/>
      </w:pPr>
      <w:r>
        <w:t xml:space="preserve">completely onboard before implementing this type of change to avoid becoming very unpopular very </w:t>
      </w:r>
    </w:p>
    <w:p>
      <w:pPr>
        <w:pStyle w:val="Para 02"/>
      </w:pPr>
      <w:r>
        <w:t xml:space="preserve">quickly.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51" name="index-26_1.png" descr="index-26_1.png"/>
            <wp:cNvGraphicFramePr>
              <a:graphicFrameLocks noChangeAspect="1"/>
            </wp:cNvGraphicFramePr>
            <a:graphic>
              <a:graphicData uri="http://schemas.openxmlformats.org/drawingml/2006/picture">
                <pic:pic>
                  <pic:nvPicPr>
                    <pic:cNvPr id="0" name="index-26_1.png" descr="index-26_1.png"/>
                    <pic:cNvPicPr/>
                  </pic:nvPicPr>
                  <pic:blipFill>
                    <a:blip r:embed="rId5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52" name="index-26_2.png" descr="index-26_2.png"/>
            <wp:cNvGraphicFramePr>
              <a:graphicFrameLocks noChangeAspect="1"/>
            </wp:cNvGraphicFramePr>
            <a:graphic>
              <a:graphicData uri="http://schemas.openxmlformats.org/drawingml/2006/picture">
                <pic:pic>
                  <pic:nvPicPr>
                    <pic:cNvPr id="0" name="index-26_2.png" descr="index-26_2.png"/>
                    <pic:cNvPicPr/>
                  </pic:nvPicPr>
                  <pic:blipFill>
                    <a:blip r:embed="rId56"/>
                    <a:stretch>
                      <a:fillRect/>
                    </a:stretch>
                  </pic:blipFill>
                  <pic:spPr>
                    <a:xfrm>
                      <a:off x="0" y="0"/>
                      <a:ext cx="914400" cy="444500"/>
                    </a:xfrm>
                    <a:prstGeom prst="rect">
                      <a:avLst/>
                    </a:prstGeom>
                  </pic:spPr>
                </pic:pic>
              </a:graphicData>
            </a:graphic>
          </wp:anchor>
        </w:drawing>
      </w:r>
    </w:p>
    <w:p>
      <w:pPr>
        <w:pStyle w:val="0 Block"/>
      </w:pPr>
    </w:p>
    <w:p>
      <w:bookmarkStart w:id="28" w:name="Chapter_1_13"/>
      <w:pPr>
        <w:pStyle w:val="Heading 1"/>
        <w:pageBreakBefore w:val="on"/>
      </w:pPr>
      <w:r>
        <w:t>Chapter 1</w:t>
      </w:r>
      <w:bookmarkEnd w:id="28"/>
    </w:p>
    <w:p>
      <w:pPr>
        <w:pStyle w:val="Para 25"/>
      </w:pPr>
      <w:r>
        <w:t/>
      </w:r>
    </w:p>
    <w:p>
      <w:pPr>
        <w:pStyle w:val="Para 07"/>
      </w:pPr>
      <w:r>
        <w:t xml:space="preserve">Delegation of Control </w:t>
      </w:r>
    </w:p>
    <w:p>
      <w:pPr>
        <w:pStyle w:val="Normal"/>
      </w:pPr>
      <w:r>
        <w:t xml:space="preserve">As a desktop administrator, what you control and how much control you have will vary greatly </w:t>
      </w:r>
    </w:p>
    <w:p>
      <w:pPr>
        <w:pStyle w:val="Normal"/>
      </w:pPr>
      <w:r>
        <w:t xml:space="preserve">depending on your organization. Do remote sites have their own administrators? If yes, what </w:t>
      </w:r>
    </w:p>
    <w:p>
      <w:pPr>
        <w:pStyle w:val="Normal"/>
      </w:pPr>
      <w:r>
        <w:t xml:space="preserve">roles are performed onsite? Responsibilities must be agreed upon and then laid out on paper to </w:t>
      </w:r>
    </w:p>
    <w:p>
      <w:pPr>
        <w:pStyle w:val="Normal"/>
      </w:pPr>
      <w:r>
        <w:t xml:space="preserve">avoid problems down the road. </w:t>
      </w:r>
    </w:p>
    <w:p>
      <w:pPr>
        <w:pStyle w:val="Para 25"/>
      </w:pPr>
      <w:r>
        <w:t/>
      </w:r>
    </w:p>
    <w:p>
      <w:pPr>
        <w:pStyle w:val="Normal"/>
      </w:pPr>
      <w:r>
        <w:t xml:space="preserve">Ideally, the same way users are given enough access to their systems to perform their jobs and no </w:t>
      </w:r>
    </w:p>
    <w:p>
      <w:pPr>
        <w:pStyle w:val="Normal"/>
      </w:pPr>
      <w:r>
        <w:t xml:space="preserve">more, administrators should have access to perform only the tasks they must. Everyone that </w:t>
      </w:r>
    </w:p>
    <w:p>
      <w:pPr>
        <w:pStyle w:val="Normal"/>
      </w:pPr>
      <w:r>
        <w:t xml:space="preserve">requires permission to back up a file, access a certain share, or join a computer to the domain does not necessarily need to be granted membership to the Domain Administrators group. </w:t>
      </w:r>
    </w:p>
    <w:p>
      <w:pPr>
        <w:pStyle w:val="Normal"/>
      </w:pPr>
      <w:r>
        <w:t xml:space="preserve">Creating groups for administration roles and providing only what is required to those groups is </w:t>
      </w:r>
    </w:p>
    <w:p>
      <w:pPr>
        <w:pStyle w:val="Normal"/>
      </w:pPr>
      <w:r>
        <w:t xml:space="preserve">an effective method for the delegation of administrative controls. </w:t>
      </w:r>
    </w:p>
    <w:p>
      <w:pPr>
        <w:pStyle w:val="Para 25"/>
      </w:pPr>
      <w:r>
        <w:t/>
      </w:r>
    </w:p>
    <w:p>
      <w:pPr>
        <w:pStyle w:val="Normal"/>
      </w:pPr>
      <w:r>
        <w:t xml:space="preserve">Depending upon the versions of Windows deployed in your organization and the presence of </w:t>
      </w:r>
    </w:p>
    <w:p>
      <w:pPr>
        <w:pStyle w:val="Normal"/>
      </w:pPr>
      <w:r>
        <w:t xml:space="preserve">Active Directory (AD), there are several options available for you to define administrative roles. </w:t>
      </w:r>
    </w:p>
    <w:p>
      <w:pPr>
        <w:pStyle w:val="Normal"/>
      </w:pPr>
      <w:r>
        <w:t xml:space="preserve">The following sections detail three options: via Windows NT domains, using AD, and through </w:t>
      </w:r>
    </w:p>
    <w:p>
      <w:pPr>
        <w:pStyle w:val="Normal"/>
      </w:pPr>
      <w:r>
        <w:t xml:space="preserve">third-party solutions. </w:t>
      </w:r>
    </w:p>
    <w:p>
      <w:pPr>
        <w:pStyle w:val="Para 25"/>
      </w:pPr>
      <w:r>
        <w:t/>
      </w:r>
    </w:p>
    <w:p>
      <w:pPr>
        <w:pStyle w:val="Para 09"/>
      </w:pPr>
      <w:r>
        <w:t xml:space="preserve">NT Domains </w:t>
      </w:r>
    </w:p>
    <w:p>
      <w:pPr>
        <w:pStyle w:val="Para 25"/>
      </w:pPr>
      <w:r>
        <w:t/>
      </w:r>
    </w:p>
    <w:p>
      <w:pPr>
        <w:pStyle w:val="Normal"/>
      </w:pPr>
      <w:r>
        <w:t xml:space="preserve">Domains represent administrative boundaries at which security policies and settings (such as </w:t>
      </w:r>
    </w:p>
    <w:p>
      <w:pPr>
        <w:pStyle w:val="Normal"/>
      </w:pPr>
      <w:r>
        <w:t xml:space="preserve">administrative rights, security policies, and access control lists—ACLs) can be administered separately for each domain. Administrators of a domain have rights to set policies only within </w:t>
      </w:r>
    </w:p>
    <w:p>
      <w:pPr>
        <w:pStyle w:val="Normal"/>
      </w:pPr>
      <w:r>
        <w:t xml:space="preserve">their domain (by default). Therefore, different domains in your organization can each be </w:t>
      </w:r>
    </w:p>
    <w:p>
      <w:pPr>
        <w:pStyle w:val="Normal"/>
      </w:pPr>
      <w:r>
        <w:t xml:space="preserve">managed independently. </w:t>
      </w:r>
    </w:p>
    <w:p>
      <w:pPr>
        <w:pStyle w:val="Para 25"/>
      </w:pPr>
      <w:r>
        <w:t/>
      </w:r>
    </w:p>
    <w:p>
      <w:pPr>
        <w:pStyle w:val="Normal"/>
      </w:pPr>
      <w:r>
        <w:t xml:space="preserve">NT 4.0 has a limit to the number of user accounts that a directory can store. Therefore, in large </w:t>
      </w:r>
    </w:p>
    <w:p>
      <w:pPr>
        <w:pStyle w:val="Normal"/>
      </w:pPr>
      <w:r>
        <w:t xml:space="preserve">computing environments, it is often necessary to create and manage several domains, each with </w:t>
      </w:r>
    </w:p>
    <w:p>
      <w:pPr>
        <w:pStyle w:val="Normal"/>
      </w:pPr>
      <w:r>
        <w:t xml:space="preserve">its own directory of user accounts. Domains are typically organized into two types: master </w:t>
      </w:r>
    </w:p>
    <w:p>
      <w:pPr>
        <w:pStyle w:val="Normal"/>
      </w:pPr>
      <w:r>
        <w:t xml:space="preserve">domains (used to store user and group accounts) and resource domains (used to store files, printers, application services, and so on). This multiple-domain computing environment is </w:t>
      </w:r>
    </w:p>
    <w:p>
      <w:pPr>
        <w:pStyle w:val="Normal"/>
      </w:pPr>
      <w:r>
        <w:t xml:space="preserve">known as a multi-master domain model, which Figure 1.2 shows. A multi-master domain model </w:t>
      </w:r>
    </w:p>
    <w:p>
      <w:pPr>
        <w:pStyle w:val="Normal"/>
      </w:pPr>
      <w:r>
        <w:t xml:space="preserve">means that resource domains need multiple trust relationships with all master domains. These trust relationships allow users in master domains to access resources in resource domains.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53" name="index-27_1.png" descr="index-27_1.png"/>
            <wp:cNvGraphicFramePr>
              <a:graphicFrameLocks noChangeAspect="1"/>
            </wp:cNvGraphicFramePr>
            <a:graphic>
              <a:graphicData uri="http://schemas.openxmlformats.org/drawingml/2006/picture">
                <pic:pic>
                  <pic:nvPicPr>
                    <pic:cNvPr id="0" name="index-27_1.png" descr="index-27_1.png"/>
                    <pic:cNvPicPr/>
                  </pic:nvPicPr>
                  <pic:blipFill>
                    <a:blip r:embed="rId5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54" name="index-27_2.png" descr="index-27_2.png"/>
            <wp:cNvGraphicFramePr>
              <a:graphicFrameLocks noChangeAspect="1"/>
            </wp:cNvGraphicFramePr>
            <a:graphic>
              <a:graphicData uri="http://schemas.openxmlformats.org/drawingml/2006/picture">
                <pic:pic>
                  <pic:nvPicPr>
                    <pic:cNvPr id="0" name="index-27_2.png" descr="index-27_2.png"/>
                    <pic:cNvPicPr/>
                  </pic:nvPicPr>
                  <pic:blipFill>
                    <a:blip r:embed="rId58"/>
                    <a:stretch>
                      <a:fillRect/>
                    </a:stretch>
                  </pic:blipFill>
                  <pic:spPr>
                    <a:xfrm>
                      <a:off x="0" y="0"/>
                      <a:ext cx="914400" cy="444500"/>
                    </a:xfrm>
                    <a:prstGeom prst="rect">
                      <a:avLst/>
                    </a:prstGeom>
                  </pic:spPr>
                </pic:pic>
              </a:graphicData>
            </a:graphic>
          </wp:anchor>
        </w:drawing>
      </w:r>
    </w:p>
    <w:p>
      <w:pPr>
        <w:pStyle w:val="0 Block"/>
      </w:pPr>
    </w:p>
    <w:p>
      <w:bookmarkStart w:id="29" w:name="Chapter_1_14"/>
      <w:pPr>
        <w:pStyle w:val="Heading 1"/>
        <w:pageBreakBefore w:val="on"/>
      </w:pPr>
      <w:r>
        <w:t>Chapter 1</w:t>
      </w:r>
      <w:bookmarkEnd w:id="2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41500" cy="1854200"/>
            <wp:effectExtent l="0" r="0" t="0" b="0"/>
            <wp:wrapTopAndBottom/>
            <wp:docPr id="55" name="index-28_1.png" descr="index-28_1.png"/>
            <wp:cNvGraphicFramePr>
              <a:graphicFrameLocks noChangeAspect="1"/>
            </wp:cNvGraphicFramePr>
            <a:graphic>
              <a:graphicData uri="http://schemas.openxmlformats.org/drawingml/2006/picture">
                <pic:pic>
                  <pic:nvPicPr>
                    <pic:cNvPr id="0" name="index-28_1.png" descr="index-28_1.png"/>
                    <pic:cNvPicPr/>
                  </pic:nvPicPr>
                  <pic:blipFill>
                    <a:blip r:embed="rId59"/>
                    <a:stretch>
                      <a:fillRect/>
                    </a:stretch>
                  </pic:blipFill>
                  <pic:spPr>
                    <a:xfrm>
                      <a:off x="0" y="0"/>
                      <a:ext cx="1841500" cy="1854200"/>
                    </a:xfrm>
                    <a:prstGeom prst="rect">
                      <a:avLst/>
                    </a:prstGeom>
                  </pic:spPr>
                </pic:pic>
              </a:graphicData>
            </a:graphic>
          </wp:anchor>
        </w:drawing>
      </w:r>
    </w:p>
    <w:p>
      <w:pPr>
        <w:pStyle w:val="Para 25"/>
      </w:pPr>
      <w:r>
        <w:t/>
      </w:r>
    </w:p>
    <w:p>
      <w:pPr>
        <w:pStyle w:val="Para 26"/>
      </w:pPr>
      <w:r>
        <w:t xml:space="preserve"> </w:t>
      </w:r>
    </w:p>
    <w:p>
      <w:pPr>
        <w:pStyle w:val="Para 25"/>
      </w:pPr>
      <w:r>
        <w:t/>
      </w:r>
    </w:p>
    <w:p>
      <w:pPr>
        <w:pStyle w:val="Para 10"/>
      </w:pPr>
      <w:r>
        <w:t xml:space="preserve">Figure 1.2: Multiple master domain model (trusted domains) </w:t>
      </w:r>
    </w:p>
    <w:p>
      <w:pPr>
        <w:pStyle w:val="Para 25"/>
      </w:pPr>
      <w:r>
        <w:t/>
      </w:r>
    </w:p>
    <w:p>
      <w:pPr>
        <w:pStyle w:val="Para 09"/>
      </w:pPr>
      <w:r>
        <w:t xml:space="preserve">AD </w:t>
      </w:r>
    </w:p>
    <w:p>
      <w:pPr>
        <w:pStyle w:val="Para 25"/>
      </w:pPr>
      <w:r>
        <w:t/>
      </w:r>
    </w:p>
    <w:p>
      <w:pPr>
        <w:pStyle w:val="Normal"/>
      </w:pPr>
      <w:r>
        <w:t xml:space="preserve">AD replaces the need for multiple domains by providing the ability to store a large capacity of </w:t>
      </w:r>
    </w:p>
    <w:p>
      <w:pPr>
        <w:pStyle w:val="Normal"/>
      </w:pPr>
      <w:r>
        <w:t xml:space="preserve">user, group, and computer accounts. With AD, administrators can consolidate all accounts (which formerly had to be stored on master domains) and all resources (which formerly had to be </w:t>
      </w:r>
    </w:p>
    <w:p>
      <w:pPr>
        <w:pStyle w:val="Normal"/>
      </w:pPr>
      <w:r>
        <w:t xml:space="preserve">stored on resource domains) across domains into a single domain. To further maintain logical </w:t>
      </w:r>
    </w:p>
    <w:p>
      <w:pPr>
        <w:pStyle w:val="Normal"/>
      </w:pPr>
      <w:r>
        <w:t xml:space="preserve">groupings of objects for administrative purposes, you might group computers and users into </w:t>
      </w:r>
    </w:p>
    <w:p>
      <w:pPr>
        <w:pStyle w:val="Normal"/>
      </w:pPr>
      <w:r>
        <w:t xml:space="preserve">organizational units (OUs) within the domain. </w:t>
      </w:r>
    </w:p>
    <w:p>
      <w:pPr>
        <w:pStyle w:val="Para 25"/>
      </w:pPr>
      <w:r>
        <w:t/>
      </w:r>
    </w:p>
    <w:p>
      <w:pPr>
        <w:pStyle w:val="Para 09"/>
      </w:pPr>
      <w:r>
        <w:t xml:space="preserve">Third-Party Solutions </w:t>
      </w:r>
    </w:p>
    <w:p>
      <w:pPr>
        <w:pStyle w:val="Para 25"/>
      </w:pPr>
      <w:r>
        <w:t/>
      </w:r>
    </w:p>
    <w:p>
      <w:pPr>
        <w:pStyle w:val="Normal"/>
      </w:pPr>
      <w:r>
        <w:t xml:space="preserve">Without the benefits of AD, assigning rights to administer some users means assigning rights to </w:t>
      </w:r>
    </w:p>
    <w:p>
      <w:pPr>
        <w:pStyle w:val="Normal"/>
      </w:pPr>
      <w:r>
        <w:t xml:space="preserve">administer all users. However, there are tools available, such as Aelita Software’s Enterprise Delegation Manager, that provide a more granular structure for defining administrative roles. </w:t>
      </w:r>
    </w:p>
    <w:p>
      <w:pPr>
        <w:pStyle w:val="Normal"/>
      </w:pPr>
      <w:r>
        <w:t xml:space="preserve">Though Win2K addressed many of the limitations inherent in delegation of control within an NT </w:t>
      </w:r>
    </w:p>
    <w:p>
      <w:pPr>
        <w:pStyle w:val="Normal"/>
      </w:pPr>
      <w:r>
        <w:t xml:space="preserve">environment, the available third-party solutions enable the creation of a Win2K-like directory in an NT network.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56" name="index-28_2.png" descr="index-28_2.png"/>
            <wp:cNvGraphicFramePr>
              <a:graphicFrameLocks noChangeAspect="1"/>
            </wp:cNvGraphicFramePr>
            <a:graphic>
              <a:graphicData uri="http://schemas.openxmlformats.org/drawingml/2006/picture">
                <pic:pic>
                  <pic:nvPicPr>
                    <pic:cNvPr id="0" name="index-28_2.png" descr="index-28_2.png"/>
                    <pic:cNvPicPr/>
                  </pic:nvPicPr>
                  <pic:blipFill>
                    <a:blip r:embed="rId6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57" name="index-28_3.png" descr="index-28_3.png"/>
            <wp:cNvGraphicFramePr>
              <a:graphicFrameLocks noChangeAspect="1"/>
            </wp:cNvGraphicFramePr>
            <a:graphic>
              <a:graphicData uri="http://schemas.openxmlformats.org/drawingml/2006/picture">
                <pic:pic>
                  <pic:nvPicPr>
                    <pic:cNvPr id="0" name="index-28_3.png" descr="index-28_3.png"/>
                    <pic:cNvPicPr/>
                  </pic:nvPicPr>
                  <pic:blipFill>
                    <a:blip r:embed="rId61"/>
                    <a:stretch>
                      <a:fillRect/>
                    </a:stretch>
                  </pic:blipFill>
                  <pic:spPr>
                    <a:xfrm>
                      <a:off x="0" y="0"/>
                      <a:ext cx="914400" cy="444500"/>
                    </a:xfrm>
                    <a:prstGeom prst="rect">
                      <a:avLst/>
                    </a:prstGeom>
                  </pic:spPr>
                </pic:pic>
              </a:graphicData>
            </a:graphic>
          </wp:anchor>
        </w:drawing>
      </w:r>
    </w:p>
    <w:p>
      <w:pPr>
        <w:pStyle w:val="0 Block"/>
      </w:pPr>
    </w:p>
    <w:p>
      <w:bookmarkStart w:id="30" w:name="Chapter_1_15"/>
      <w:pPr>
        <w:pStyle w:val="Heading 1"/>
        <w:pageBreakBefore w:val="on"/>
      </w:pPr>
      <w:r>
        <w:t>Chapter 1</w:t>
      </w:r>
      <w:bookmarkEnd w:id="30"/>
    </w:p>
    <w:p>
      <w:pPr>
        <w:pStyle w:val="Para 25"/>
      </w:pPr>
      <w:r>
        <w:t/>
      </w:r>
    </w:p>
    <w:p>
      <w:pPr>
        <w:pStyle w:val="Para 07"/>
      </w:pPr>
      <w:r>
        <w:t xml:space="preserve">Working with Users </w:t>
      </w:r>
    </w:p>
    <w:p>
      <w:pPr>
        <w:pStyle w:val="Normal"/>
      </w:pPr>
      <w:r>
        <w:t xml:space="preserve">When things go wrong, there is a tendency for users to point to the unknown as the cause. The </w:t>
      </w:r>
    </w:p>
    <w:p>
      <w:pPr>
        <w:pStyle w:val="Normal"/>
      </w:pPr>
      <w:r>
        <w:t xml:space="preserve">magic you perform with your desktop administration tools may be seen as the malefactor behind </w:t>
      </w:r>
    </w:p>
    <w:p>
      <w:pPr>
        <w:pStyle w:val="Normal"/>
      </w:pPr>
      <w:r>
        <w:t xml:space="preserve">errors, latency, and just about anything else that is difficult for a user to explain. Simple practices </w:t>
      </w:r>
    </w:p>
    <w:p>
      <w:pPr>
        <w:pStyle w:val="Normal"/>
      </w:pPr>
      <w:r>
        <w:t xml:space="preserve">such as keeping users informed and providing explanations will go a long way to ensuring successful desktop administration as well as office harmony. </w:t>
      </w:r>
    </w:p>
    <w:p>
      <w:pPr>
        <w:pStyle w:val="Para 25"/>
      </w:pPr>
      <w:r>
        <w:t/>
      </w:r>
    </w:p>
    <w:p>
      <w:pPr>
        <w:pStyle w:val="Para 02"/>
      </w:pPr>
      <w:r>
        <w:t xml:space="preserve">Perhaps it goes without saying, but even more important than education is that you perform the </w:t>
      </w:r>
    </w:p>
    <w:p>
      <w:pPr>
        <w:pStyle w:val="Para 02"/>
      </w:pPr>
      <w:r>
        <w:t xml:space="preserve">planning and testing necessary to minimize the potential for causing problems for users. A single </w:t>
      </w:r>
    </w:p>
    <w:p>
      <w:pPr>
        <w:pStyle w:val="Para 02"/>
      </w:pPr>
      <w:r>
        <w:t xml:space="preserve">failure can brand the desktop administration team with a bad reputation that might be difficult to </w:t>
      </w:r>
    </w:p>
    <w:p>
      <w:pPr>
        <w:pStyle w:val="Para 02"/>
      </w:pPr>
      <w:r>
        <w:t xml:space="preserve">recover from. </w:t>
      </w:r>
    </w:p>
    <w:p>
      <w:pPr>
        <w:pStyle w:val="Para 25"/>
      </w:pPr>
      <w:r>
        <w:t/>
      </w:r>
    </w:p>
    <w:p>
      <w:pPr>
        <w:pStyle w:val="Normal"/>
      </w:pPr>
      <w:r>
        <w:t xml:space="preserve">When a deployment is planned, notify users beforehand, then advise them of your success or any </w:t>
      </w:r>
    </w:p>
    <w:p>
      <w:pPr>
        <w:pStyle w:val="Normal"/>
      </w:pPr>
      <w:r>
        <w:t xml:space="preserve">problems you encountered that might affect them. It is a common mistake to keep users out of </w:t>
      </w:r>
    </w:p>
    <w:p>
      <w:pPr>
        <w:pStyle w:val="Normal"/>
      </w:pPr>
      <w:r>
        <w:t xml:space="preserve">the loop. Doing so ultimately means that they end up hearing about the occasional failure and not the successes of your work. Some administrators worry that problems will be blamed on </w:t>
      </w:r>
    </w:p>
    <w:p>
      <w:pPr>
        <w:pStyle w:val="Normal"/>
      </w:pPr>
      <w:r>
        <w:t xml:space="preserve">management tools and remote updates if the users are informed of such installations. However, it </w:t>
      </w:r>
    </w:p>
    <w:p>
      <w:pPr>
        <w:pStyle w:val="Normal"/>
      </w:pPr>
      <w:r>
        <w:t xml:space="preserve">is very likely problems will be blamed on desktop administrators even when operations are not being performed. Build a positive reputation by educating users and taking credit for your </w:t>
      </w:r>
    </w:p>
    <w:p>
      <w:pPr>
        <w:pStyle w:val="Normal"/>
      </w:pPr>
      <w:r>
        <w:t xml:space="preserve">successes. </w:t>
      </w:r>
    </w:p>
    <w:p>
      <w:pPr>
        <w:pStyle w:val="Para 25"/>
      </w:pPr>
      <w:r>
        <w:t/>
      </w:r>
    </w:p>
    <w:p>
      <w:pPr>
        <w:pStyle w:val="Para 02"/>
      </w:pPr>
      <w:r>
        <w:t xml:space="preserve">A weekly or monthly newsletter may be overkill; however, normal announcements about what is </w:t>
      </w:r>
    </w:p>
    <w:p>
      <w:pPr>
        <w:pStyle w:val="Para 02"/>
      </w:pPr>
      <w:r>
        <w:t xml:space="preserve">happening as it happens can open communication with users. Consider setting up a simple Web </w:t>
      </w:r>
    </w:p>
    <w:p>
      <w:pPr>
        <w:pStyle w:val="Para 02"/>
      </w:pPr>
      <w:r>
        <w:t xml:space="preserve">page that users can visit to discover what’s going on and what is scheduled for the near future. </w:t>
      </w:r>
    </w:p>
    <w:p>
      <w:pPr>
        <w:pStyle w:val="Para 25"/>
      </w:pPr>
      <w:r>
        <w:t/>
      </w:r>
    </w:p>
    <w:p>
      <w:pPr>
        <w:pStyle w:val="Normal"/>
      </w:pPr>
      <w:r>
        <w:t xml:space="preserve">In particular, a capability such as remote control can be very intimidating to users. Does this </w:t>
      </w:r>
    </w:p>
    <w:p>
      <w:pPr>
        <w:pStyle w:val="Normal"/>
      </w:pPr>
      <w:r>
        <w:t xml:space="preserve">mean that someone is watching everything I do? Decide what to tell users about your tools, but avoid saying nothing at all. Put some thought into this process—for example, you might want to </w:t>
      </w:r>
    </w:p>
    <w:p>
      <w:pPr>
        <w:pStyle w:val="Normal"/>
      </w:pPr>
      <w:r>
        <w:t xml:space="preserve">prevent paranoia by explaining tools but ensure that you don’t eliminate the slight fear of </w:t>
      </w:r>
    </w:p>
    <w:p>
      <w:pPr>
        <w:pStyle w:val="Normal"/>
      </w:pPr>
      <w:r>
        <w:t xml:space="preserve">software usage reporting (metering)! It might be a good thing that users worry about being discovered playing Solitaire for half of the day.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58" name="index-29_1.png" descr="index-29_1.png"/>
            <wp:cNvGraphicFramePr>
              <a:graphicFrameLocks noChangeAspect="1"/>
            </wp:cNvGraphicFramePr>
            <a:graphic>
              <a:graphicData uri="http://schemas.openxmlformats.org/drawingml/2006/picture">
                <pic:pic>
                  <pic:nvPicPr>
                    <pic:cNvPr id="0" name="index-29_1.png" descr="index-29_1.png"/>
                    <pic:cNvPicPr/>
                  </pic:nvPicPr>
                  <pic:blipFill>
                    <a:blip r:embed="rId6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59" name="index-29_2.png" descr="index-29_2.png"/>
            <wp:cNvGraphicFramePr>
              <a:graphicFrameLocks noChangeAspect="1"/>
            </wp:cNvGraphicFramePr>
            <a:graphic>
              <a:graphicData uri="http://schemas.openxmlformats.org/drawingml/2006/picture">
                <pic:pic>
                  <pic:nvPicPr>
                    <pic:cNvPr id="0" name="index-29_2.png" descr="index-29_2.png"/>
                    <pic:cNvPicPr/>
                  </pic:nvPicPr>
                  <pic:blipFill>
                    <a:blip r:embed="rId63"/>
                    <a:stretch>
                      <a:fillRect/>
                    </a:stretch>
                  </pic:blipFill>
                  <pic:spPr>
                    <a:xfrm>
                      <a:off x="0" y="0"/>
                      <a:ext cx="914400" cy="444500"/>
                    </a:xfrm>
                    <a:prstGeom prst="rect">
                      <a:avLst/>
                    </a:prstGeom>
                  </pic:spPr>
                </pic:pic>
              </a:graphicData>
            </a:graphic>
          </wp:anchor>
        </w:drawing>
      </w:r>
    </w:p>
    <w:p>
      <w:pPr>
        <w:pStyle w:val="0 Block"/>
      </w:pPr>
    </w:p>
    <w:p>
      <w:bookmarkStart w:id="31" w:name="Chapter_1_16"/>
      <w:pPr>
        <w:pStyle w:val="Heading 1"/>
        <w:pageBreakBefore w:val="on"/>
      </w:pPr>
      <w:r>
        <w:t>Chapter 1</w:t>
      </w:r>
      <w:bookmarkEnd w:id="31"/>
    </w:p>
    <w:p>
      <w:pPr>
        <w:pStyle w:val="Para 25"/>
      </w:pPr>
      <w:r>
        <w:t/>
      </w:r>
    </w:p>
    <w:p>
      <w:pPr>
        <w:pStyle w:val="Para 12"/>
      </w:pPr>
      <w:r>
        <w:t xml:space="preserve">Factors in Effective Desktop Administration </w:t>
      </w:r>
    </w:p>
    <w:p>
      <w:pPr>
        <w:pStyle w:val="Para 25"/>
      </w:pPr>
      <w:r>
        <w:t/>
      </w:r>
    </w:p>
    <w:p>
      <w:pPr>
        <w:pStyle w:val="Normal"/>
      </w:pPr>
      <w:r>
        <w:t xml:space="preserve">Company politics aside, your ability to implement effective desktop administration practices </w:t>
      </w:r>
    </w:p>
    <w:p>
      <w:pPr>
        <w:pStyle w:val="Normal"/>
      </w:pPr>
      <w:r>
        <w:t xml:space="preserve">might be limited for several reasons. You can address some factors, such as standardization, but </w:t>
      </w:r>
    </w:p>
    <w:p>
      <w:pPr>
        <w:pStyle w:val="Normal"/>
      </w:pPr>
      <w:r>
        <w:t xml:space="preserve">others, such as geographic dispersion, are simply something you must learn to work with. In the following section, we’ll explore the possible challenges you face as a desktop administrator. </w:t>
      </w:r>
    </w:p>
    <w:p>
      <w:pPr>
        <w:pStyle w:val="Para 25"/>
      </w:pPr>
      <w:r>
        <w:t/>
      </w:r>
    </w:p>
    <w:p>
      <w:pPr>
        <w:pStyle w:val="Para 07"/>
      </w:pPr>
      <w:r>
        <w:t xml:space="preserve">Standardization </w:t>
      </w:r>
    </w:p>
    <w:p>
      <w:pPr>
        <w:pStyle w:val="Normal"/>
      </w:pPr>
      <w:r>
        <w:t xml:space="preserve">Whether your organization lacks standardization is the number one factor when measuring the </w:t>
      </w:r>
    </w:p>
    <w:p>
      <w:pPr>
        <w:pStyle w:val="Normal"/>
      </w:pPr>
      <w:r>
        <w:t xml:space="preserve">complexity involved in desktop administration. Such is particularly true when dealing with the </w:t>
      </w:r>
    </w:p>
    <w:p>
      <w:pPr>
        <w:pStyle w:val="Normal"/>
      </w:pPr>
      <w:r>
        <w:t xml:space="preserve">deployment of applications and updates. Varying OSs and hardware can multiply the effort required to engineer a deployment. </w:t>
      </w:r>
    </w:p>
    <w:p>
      <w:pPr>
        <w:pStyle w:val="Para 25"/>
      </w:pPr>
      <w:r>
        <w:t/>
      </w:r>
    </w:p>
    <w:p>
      <w:pPr>
        <w:pStyle w:val="Para 02"/>
      </w:pPr>
      <w:r>
        <w:t xml:space="preserve">Almost without exception, the more you buy the less it will cost. Choosing one software package that </w:t>
      </w:r>
    </w:p>
    <w:p>
      <w:pPr>
        <w:pStyle w:val="Para 02"/>
      </w:pPr>
      <w:r>
        <w:t xml:space="preserve">satisfies your users will be far less costly than making several smaller purchases from different </w:t>
      </w:r>
    </w:p>
    <w:p>
      <w:pPr>
        <w:pStyle w:val="Para 02"/>
      </w:pPr>
      <w:r>
        <w:t xml:space="preserve">vendors. </w:t>
      </w:r>
    </w:p>
    <w:p>
      <w:pPr>
        <w:pStyle w:val="Para 25"/>
      </w:pPr>
      <w:r>
        <w:t/>
      </w:r>
    </w:p>
    <w:p>
      <w:pPr>
        <w:pStyle w:val="Normal"/>
      </w:pPr>
      <w:r>
        <w:t xml:space="preserve">The more versions of Windows on your network, the more difficult certain desktop </w:t>
      </w:r>
    </w:p>
    <w:p>
      <w:pPr>
        <w:pStyle w:val="Normal"/>
      </w:pPr>
      <w:r>
        <w:t xml:space="preserve">administration tasks will become. Particularly in the area of application deployment, you will </w:t>
      </w:r>
    </w:p>
    <w:p>
      <w:pPr>
        <w:pStyle w:val="Normal"/>
      </w:pPr>
      <w:r>
        <w:t xml:space="preserve">need to develop, test, and manage the distribution of packages separately for each OS on the network. Measuring the minimum requirements of software will also require much more </w:t>
      </w:r>
    </w:p>
    <w:p>
      <w:pPr>
        <w:pStyle w:val="Normal"/>
      </w:pPr>
      <w:r>
        <w:t xml:space="preserve">attention in environments in which multiple OS versions and service pack levels must be </w:t>
      </w:r>
    </w:p>
    <w:p>
      <w:pPr>
        <w:pStyle w:val="Normal"/>
      </w:pPr>
      <w:r>
        <w:t xml:space="preserve">considered. </w:t>
      </w:r>
    </w:p>
    <w:p>
      <w:pPr>
        <w:pStyle w:val="Para 25"/>
      </w:pPr>
      <w:r>
        <w:t/>
      </w:r>
    </w:p>
    <w:p>
      <w:pPr>
        <w:pStyle w:val="Normal"/>
      </w:pPr>
      <w:r>
        <w:t xml:space="preserve">Chances are that most every workstation in an organization requires largely the same </w:t>
      </w:r>
    </w:p>
    <w:p>
      <w:pPr>
        <w:pStyle w:val="Normal"/>
      </w:pPr>
      <w:r>
        <w:t xml:space="preserve">applications and utilities on each. By establishing a common baseline from which to start all </w:t>
      </w:r>
    </w:p>
    <w:p>
      <w:pPr>
        <w:pStyle w:val="Normal"/>
      </w:pPr>
      <w:r>
        <w:t xml:space="preserve">workstations, you can more easily realize an increase in the consistency between systems. </w:t>
      </w:r>
    </w:p>
    <w:p>
      <w:pPr>
        <w:pStyle w:val="Normal"/>
      </w:pPr>
      <w:r>
        <w:t xml:space="preserve">Whether through documentation, unattended installation, or imaging, start all users out with an identical common workstation load and then install additional software on an “as needed” basis. </w:t>
      </w:r>
    </w:p>
    <w:p>
      <w:pPr>
        <w:pStyle w:val="Para 25"/>
      </w:pPr>
      <w:r>
        <w:t/>
      </w:r>
    </w:p>
    <w:p>
      <w:pPr>
        <w:pStyle w:val="Para 02"/>
      </w:pPr>
      <w:r>
        <w:t xml:space="preserve">With a common software baseline established, Help desk personnel and users alike may become </w:t>
      </w:r>
    </w:p>
    <w:p>
      <w:pPr>
        <w:pStyle w:val="Para 02"/>
      </w:pPr>
      <w:r>
        <w:t xml:space="preserve">proficient with the same tools. Users are better able to assist one another and training programs may </w:t>
      </w:r>
    </w:p>
    <w:p>
      <w:pPr>
        <w:pStyle w:val="Para 02"/>
      </w:pPr>
      <w:r>
        <w:t xml:space="preserve">be instituted that benefit the largest possible number of users.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60" name="index-30_1.png" descr="index-30_1.png"/>
            <wp:cNvGraphicFramePr>
              <a:graphicFrameLocks noChangeAspect="1"/>
            </wp:cNvGraphicFramePr>
            <a:graphic>
              <a:graphicData uri="http://schemas.openxmlformats.org/drawingml/2006/picture">
                <pic:pic>
                  <pic:nvPicPr>
                    <pic:cNvPr id="0" name="index-30_1.png" descr="index-30_1.png"/>
                    <pic:cNvPicPr/>
                  </pic:nvPicPr>
                  <pic:blipFill>
                    <a:blip r:embed="rId6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61" name="index-30_2.png" descr="index-30_2.png"/>
            <wp:cNvGraphicFramePr>
              <a:graphicFrameLocks noChangeAspect="1"/>
            </wp:cNvGraphicFramePr>
            <a:graphic>
              <a:graphicData uri="http://schemas.openxmlformats.org/drawingml/2006/picture">
                <pic:pic>
                  <pic:nvPicPr>
                    <pic:cNvPr id="0" name="index-30_2.png" descr="index-30_2.png"/>
                    <pic:cNvPicPr/>
                  </pic:nvPicPr>
                  <pic:blipFill>
                    <a:blip r:embed="rId65"/>
                    <a:stretch>
                      <a:fillRect/>
                    </a:stretch>
                  </pic:blipFill>
                  <pic:spPr>
                    <a:xfrm>
                      <a:off x="0" y="0"/>
                      <a:ext cx="914400" cy="444500"/>
                    </a:xfrm>
                    <a:prstGeom prst="rect">
                      <a:avLst/>
                    </a:prstGeom>
                  </pic:spPr>
                </pic:pic>
              </a:graphicData>
            </a:graphic>
          </wp:anchor>
        </w:drawing>
      </w:r>
    </w:p>
    <w:p>
      <w:pPr>
        <w:pStyle w:val="0 Block"/>
      </w:pPr>
    </w:p>
    <w:p>
      <w:bookmarkStart w:id="32" w:name="Chapter_1_17"/>
      <w:pPr>
        <w:pStyle w:val="Heading 1"/>
        <w:pageBreakBefore w:val="on"/>
      </w:pPr>
      <w:r>
        <w:t>Chapter 1</w:t>
      </w:r>
      <w:bookmarkEnd w:id="32"/>
    </w:p>
    <w:p>
      <w:pPr>
        <w:pStyle w:val="Para 25"/>
      </w:pPr>
      <w:r>
        <w:t/>
      </w:r>
    </w:p>
    <w:p>
      <w:pPr>
        <w:pStyle w:val="Normal"/>
      </w:pPr>
      <w:r>
        <w:t xml:space="preserve">Determining the minimum requirements for versions of Windows and its applications may not be </w:t>
      </w:r>
    </w:p>
    <w:p>
      <w:pPr>
        <w:pStyle w:val="Normal"/>
      </w:pPr>
      <w:r>
        <w:t>too large of an issue for many organizations. However, if a drive cloning (hardware- or software-</w:t>
      </w:r>
    </w:p>
    <w:p>
      <w:pPr>
        <w:pStyle w:val="Normal"/>
      </w:pPr>
      <w:r>
        <w:t xml:space="preserve">based) method of system deployment is in place, consistency in the hardware on the network can greatly reduce testing requirements and the number of images required. With NT and earlier </w:t>
      </w:r>
    </w:p>
    <w:p>
      <w:pPr>
        <w:pStyle w:val="Normal"/>
      </w:pPr>
      <w:r>
        <w:t>systems, even a different model network card could mean the creation of a new image. The plug-</w:t>
      </w:r>
    </w:p>
    <w:p>
      <w:pPr>
        <w:pStyle w:val="Normal"/>
      </w:pPr>
      <w:r>
        <w:t xml:space="preserve">and-play (PnP) capabilities of newer versions of Windows provide less of an issue with inconsistent hardware, but the problem has not gone away. Even when creating an image with </w:t>
      </w:r>
    </w:p>
    <w:p>
      <w:pPr>
        <w:pStyle w:val="Normal"/>
      </w:pPr>
      <w:r>
        <w:t xml:space="preserve">Windows XP, the reference and destination computers must have compatible Hardware </w:t>
      </w:r>
    </w:p>
    <w:p>
      <w:pPr>
        <w:pStyle w:val="Normal"/>
      </w:pPr>
      <w:r>
        <w:t xml:space="preserve">Abstraction Layers (HALs). </w:t>
      </w:r>
    </w:p>
    <w:p>
      <w:pPr>
        <w:pStyle w:val="Para 25"/>
      </w:pPr>
      <w:r>
        <w:t/>
      </w:r>
    </w:p>
    <w:p>
      <w:pPr>
        <w:pStyle w:val="Para 02"/>
      </w:pPr>
      <w:r>
        <w:t xml:space="preserve">We’ll discuss standardization in more detail in Chapter 2. </w:t>
      </w:r>
    </w:p>
    <w:p>
      <w:pPr>
        <w:pStyle w:val="Para 25"/>
      </w:pPr>
      <w:r>
        <w:t/>
      </w:r>
    </w:p>
    <w:p>
      <w:pPr>
        <w:pStyle w:val="Para 02"/>
      </w:pPr>
      <w:r>
        <w:t xml:space="preserve">When purchasing hardware, ask vendors about their update cycles. In some cases, the same model </w:t>
      </w:r>
    </w:p>
    <w:p>
      <w:pPr>
        <w:pStyle w:val="Para 02"/>
      </w:pPr>
      <w:r>
        <w:t xml:space="preserve">of a computer is shipped with slightly different hardware configurations. Even a slight change has the </w:t>
      </w:r>
    </w:p>
    <w:p>
      <w:pPr>
        <w:pStyle w:val="Para 02"/>
      </w:pPr>
      <w:r>
        <w:t xml:space="preserve">potential to cause you considerable troubles with imaging or accounting for available device drivers. </w:t>
      </w:r>
    </w:p>
    <w:p>
      <w:pPr>
        <w:pStyle w:val="Para 02"/>
      </w:pPr>
      <w:r>
        <w:t xml:space="preserve">Some vendors address this potential problem by offering computers aimed toward businesses. For </w:t>
      </w:r>
    </w:p>
    <w:p>
      <w:pPr>
        <w:pStyle w:val="Para 02"/>
      </w:pPr>
      <w:r>
        <w:t>example Dell offers the OptiPlex series for business and Dimension series for home use. Hewlett-</w:t>
      </w:r>
    </w:p>
    <w:p>
      <w:pPr>
        <w:pStyle w:val="Para 02"/>
      </w:pPr>
      <w:r>
        <w:t xml:space="preserve">Packard (which acquired Compaq) offers an Evo series for business use and a Presario series for </w:t>
      </w:r>
    </w:p>
    <w:p>
      <w:pPr>
        <w:pStyle w:val="Para 02"/>
      </w:pPr>
      <w:r>
        <w:t xml:space="preserve">home use. Each vendor provides documented assurances that hardware configurations will remain </w:t>
      </w:r>
    </w:p>
    <w:p>
      <w:pPr>
        <w:pStyle w:val="Para 02"/>
      </w:pPr>
      <w:r>
        <w:t xml:space="preserve">consistent in a given shipment of systems or for a specified number of months. </w:t>
      </w:r>
    </w:p>
    <w:p>
      <w:pPr>
        <w:pStyle w:val="Para 25"/>
      </w:pPr>
      <w:r>
        <w:t/>
      </w:r>
    </w:p>
    <w:p>
      <w:pPr>
        <w:pStyle w:val="Para 07"/>
      </w:pPr>
      <w:r>
        <w:t xml:space="preserve">Geographic Dispersion </w:t>
      </w:r>
    </w:p>
    <w:p>
      <w:pPr>
        <w:pStyle w:val="Normal"/>
      </w:pPr>
      <w:r>
        <w:t xml:space="preserve">The ability to walk down the hall and put your hands on a system is easily taken for granted </w:t>
      </w:r>
    </w:p>
    <w:p>
      <w:pPr>
        <w:pStyle w:val="Normal"/>
      </w:pPr>
      <w:r>
        <w:t xml:space="preserve">unless you must account for a single remote site (often with decreased bandwidth and stability). </w:t>
      </w:r>
    </w:p>
    <w:p>
      <w:pPr>
        <w:pStyle w:val="Normal"/>
      </w:pPr>
      <w:r>
        <w:t xml:space="preserve">Remote sites can be the cause of much consideration and engineering. Often separate desktop administration policies and procedures are put in place to handle these environments, sometimes </w:t>
      </w:r>
    </w:p>
    <w:p>
      <w:pPr>
        <w:pStyle w:val="Normal"/>
      </w:pPr>
      <w:r>
        <w:t xml:space="preserve">resulting in a reduction or loss of configuration management as well as an increase in the time </w:t>
      </w:r>
    </w:p>
    <w:p>
      <w:pPr>
        <w:pStyle w:val="Normal"/>
      </w:pPr>
      <w:r>
        <w:t xml:space="preserve">spent planning and supporting these remote systems. </w:t>
      </w:r>
    </w:p>
    <w:p>
      <w:pPr>
        <w:pStyle w:val="Para 25"/>
      </w:pPr>
      <w:r>
        <w:t/>
      </w:r>
    </w:p>
    <w:p>
      <w:pPr>
        <w:pStyle w:val="Normal"/>
      </w:pPr>
      <w:r>
        <w:t xml:space="preserve">In Figure 1.3, we see a few desktop administration problems to overcome. First the wide area </w:t>
      </w:r>
    </w:p>
    <w:p>
      <w:pPr>
        <w:pStyle w:val="Normal"/>
      </w:pPr>
      <w:r>
        <w:t xml:space="preserve">network (WAN) connection (the remote Tampa site) might be slow or costly to utilize, and </w:t>
      </w:r>
    </w:p>
    <w:p>
      <w:pPr>
        <w:pStyle w:val="Normal"/>
      </w:pPr>
      <w:r>
        <w:t xml:space="preserve">second, the remote site does not have a local server. This scenario is not unusual for sites with </w:t>
      </w:r>
    </w:p>
    <w:p>
      <w:pPr>
        <w:pStyle w:val="Normal"/>
      </w:pPr>
      <w:r>
        <w:t xml:space="preserve">few workstations and little to no onsite desktop administrative support. Virtually all network-intensive services may be subject to reduced network speeds. Windows installation, software </w:t>
      </w:r>
    </w:p>
    <w:p>
      <w:pPr>
        <w:pStyle w:val="Normal"/>
      </w:pPr>
      <w:r>
        <w:t xml:space="preserve">deployment, profile management, and other desktop administrative tasks will often need to be </w:t>
      </w:r>
    </w:p>
    <w:p>
      <w:pPr>
        <w:pStyle w:val="Normal"/>
      </w:pPr>
      <w:r>
        <w:t xml:space="preserve">altered for such remote sites.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62" name="index-31_1.png" descr="index-31_1.png"/>
            <wp:cNvGraphicFramePr>
              <a:graphicFrameLocks noChangeAspect="1"/>
            </wp:cNvGraphicFramePr>
            <a:graphic>
              <a:graphicData uri="http://schemas.openxmlformats.org/drawingml/2006/picture">
                <pic:pic>
                  <pic:nvPicPr>
                    <pic:cNvPr id="0" name="index-31_1.png" descr="index-31_1.png"/>
                    <pic:cNvPicPr/>
                  </pic:nvPicPr>
                  <pic:blipFill>
                    <a:blip r:embed="rId6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63" name="index-31_2.png" descr="index-31_2.png"/>
            <wp:cNvGraphicFramePr>
              <a:graphicFrameLocks noChangeAspect="1"/>
            </wp:cNvGraphicFramePr>
            <a:graphic>
              <a:graphicData uri="http://schemas.openxmlformats.org/drawingml/2006/picture">
                <pic:pic>
                  <pic:nvPicPr>
                    <pic:cNvPr id="0" name="index-31_2.png" descr="index-31_2.png"/>
                    <pic:cNvPicPr/>
                  </pic:nvPicPr>
                  <pic:blipFill>
                    <a:blip r:embed="rId67"/>
                    <a:stretch>
                      <a:fillRect/>
                    </a:stretch>
                  </pic:blipFill>
                  <pic:spPr>
                    <a:xfrm>
                      <a:off x="0" y="0"/>
                      <a:ext cx="914400" cy="444500"/>
                    </a:xfrm>
                    <a:prstGeom prst="rect">
                      <a:avLst/>
                    </a:prstGeom>
                  </pic:spPr>
                </pic:pic>
              </a:graphicData>
            </a:graphic>
          </wp:anchor>
        </w:drawing>
      </w:r>
    </w:p>
    <w:p>
      <w:pPr>
        <w:pStyle w:val="0 Block"/>
      </w:pPr>
    </w:p>
    <w:p>
      <w:bookmarkStart w:id="33" w:name="Chapter_1_18"/>
      <w:pPr>
        <w:pStyle w:val="Heading 1"/>
        <w:pageBreakBefore w:val="on"/>
      </w:pPr>
      <w:r>
        <w:t>Chapter 1</w:t>
      </w:r>
      <w:bookmarkEnd w:id="3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2755900"/>
            <wp:effectExtent l="0" r="0" t="0" b="0"/>
            <wp:wrapTopAndBottom/>
            <wp:docPr id="64" name="index-32_1.jpg" descr="index-32_1.jpg"/>
            <wp:cNvGraphicFramePr>
              <a:graphicFrameLocks noChangeAspect="1"/>
            </wp:cNvGraphicFramePr>
            <a:graphic>
              <a:graphicData uri="http://schemas.openxmlformats.org/drawingml/2006/picture">
                <pic:pic>
                  <pic:nvPicPr>
                    <pic:cNvPr id="0" name="index-32_1.jpg" descr="index-32_1.jpg"/>
                    <pic:cNvPicPr/>
                  </pic:nvPicPr>
                  <pic:blipFill>
                    <a:blip r:embed="rId68"/>
                    <a:stretch>
                      <a:fillRect/>
                    </a:stretch>
                  </pic:blipFill>
                  <pic:spPr>
                    <a:xfrm>
                      <a:off x="0" y="0"/>
                      <a:ext cx="2438400" cy="2755900"/>
                    </a:xfrm>
                    <a:prstGeom prst="rect">
                      <a:avLst/>
                    </a:prstGeom>
                  </pic:spPr>
                </pic:pic>
              </a:graphicData>
            </a:graphic>
          </wp:anchor>
        </w:drawing>
      </w:r>
    </w:p>
    <w:p>
      <w:pPr>
        <w:pStyle w:val="Para 25"/>
      </w:pPr>
      <w:r>
        <w:t/>
      </w:r>
    </w:p>
    <w:p>
      <w:pPr>
        <w:pStyle w:val="Para 24"/>
      </w:pPr>
      <w:r>
        <w:t xml:space="preserve"> </w:t>
      </w:r>
    </w:p>
    <w:p>
      <w:pPr>
        <w:pStyle w:val="Para 25"/>
      </w:pPr>
      <w:r>
        <w:t/>
      </w:r>
    </w:p>
    <w:p>
      <w:pPr>
        <w:pStyle w:val="Para 10"/>
      </w:pPr>
      <w:r>
        <w:t xml:space="preserve">Figure 1.3: Geographic dispersion and connectivity considerations are elements that can add significant </w:t>
        <w:t xml:space="preserve">levels of complexity to desktop administration. </w:t>
      </w:r>
    </w:p>
    <w:p>
      <w:pPr>
        <w:pStyle w:val="Para 25"/>
      </w:pPr>
      <w:r>
        <w:t/>
      </w:r>
    </w:p>
    <w:p>
      <w:pPr>
        <w:pStyle w:val="Para 07"/>
      </w:pPr>
      <w:r>
        <w:t xml:space="preserve">Dedicated Staffing </w:t>
      </w:r>
    </w:p>
    <w:p>
      <w:pPr>
        <w:pStyle w:val="Normal"/>
      </w:pPr>
      <w:r>
        <w:t xml:space="preserve">The larger the network, the more likely a dedicated desktop administration staff is present. A </w:t>
      </w:r>
    </w:p>
    <w:p>
      <w:pPr>
        <w:pStyle w:val="Normal"/>
      </w:pPr>
      <w:r>
        <w:t xml:space="preserve">staff able to focus and build proficiencies will clearly have an increased opportunity to succeed. </w:t>
      </w:r>
    </w:p>
    <w:p>
      <w:pPr>
        <w:pStyle w:val="Normal"/>
      </w:pPr>
      <w:r>
        <w:t xml:space="preserve">In situations in which desktop administration is one of many tasks you must perform, desktop administration operations might take longer to perform and risk the possibility of being forgotten </w:t>
      </w:r>
    </w:p>
    <w:p>
      <w:pPr>
        <w:pStyle w:val="Normal"/>
      </w:pPr>
      <w:r>
        <w:t xml:space="preserve">completely. </w:t>
      </w:r>
    </w:p>
    <w:p>
      <w:pPr>
        <w:pStyle w:val="Para 25"/>
      </w:pPr>
      <w:r>
        <w:t/>
      </w:r>
    </w:p>
    <w:p>
      <w:pPr>
        <w:pStyle w:val="Para 07"/>
      </w:pPr>
      <w:r>
        <w:t xml:space="preserve">Budget </w:t>
      </w:r>
    </w:p>
    <w:p>
      <w:pPr>
        <w:pStyle w:val="Normal"/>
      </w:pPr>
      <w:r>
        <w:t xml:space="preserve">The first limitation to come to mind for management, and thus for the desktop administrator, is </w:t>
      </w:r>
    </w:p>
    <w:p>
      <w:pPr>
        <w:pStyle w:val="Normal"/>
      </w:pPr>
      <w:r>
        <w:t xml:space="preserve">usually budget. One way to ensure that your desktop administration tool purchase request is approved is by drafting a business case for the request (in contrast to an IT case—usually that </w:t>
      </w:r>
    </w:p>
    <w:p>
      <w:pPr>
        <w:pStyle w:val="Normal"/>
      </w:pPr>
      <w:r>
        <w:t xml:space="preserve">such tools will make your life much easier). If you can demonstrate that the $5000 management </w:t>
      </w:r>
    </w:p>
    <w:p>
      <w:pPr>
        <w:pStyle w:val="Normal"/>
      </w:pPr>
      <w:r>
        <w:t xml:space="preserve">software package that you want to implement will save many times that amount in just the first </w:t>
      </w:r>
    </w:p>
    <w:p>
      <w:pPr>
        <w:pStyle w:val="Normal"/>
      </w:pPr>
      <w:r>
        <w:t xml:space="preserve">year, it is far less likely your request will be denied. If your purchase request for administration tools is considered too great a cost to spend and you are left to spend weeks or months </w:t>
      </w:r>
    </w:p>
    <w:p>
      <w:pPr>
        <w:pStyle w:val="Normal"/>
      </w:pPr>
      <w:r>
        <w:t>developing the same capability with free tools and scripts, consider the situation a windfall—</w:t>
      </w:r>
    </w:p>
    <w:p>
      <w:pPr>
        <w:pStyle w:val="Normal"/>
      </w:pPr>
      <w:r>
        <w:t xml:space="preserve">many careers have been built on the development of customized solutions to desktop administration issues.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65" name="index-32_2.png" descr="index-32_2.png"/>
            <wp:cNvGraphicFramePr>
              <a:graphicFrameLocks noChangeAspect="1"/>
            </wp:cNvGraphicFramePr>
            <a:graphic>
              <a:graphicData uri="http://schemas.openxmlformats.org/drawingml/2006/picture">
                <pic:pic>
                  <pic:nvPicPr>
                    <pic:cNvPr id="0" name="index-32_2.png" descr="index-32_2.png"/>
                    <pic:cNvPicPr/>
                  </pic:nvPicPr>
                  <pic:blipFill>
                    <a:blip r:embed="rId6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66" name="index-32_3.png" descr="index-32_3.png"/>
            <wp:cNvGraphicFramePr>
              <a:graphicFrameLocks noChangeAspect="1"/>
            </wp:cNvGraphicFramePr>
            <a:graphic>
              <a:graphicData uri="http://schemas.openxmlformats.org/drawingml/2006/picture">
                <pic:pic>
                  <pic:nvPicPr>
                    <pic:cNvPr id="0" name="index-32_3.png" descr="index-32_3.png"/>
                    <pic:cNvPicPr/>
                  </pic:nvPicPr>
                  <pic:blipFill>
                    <a:blip r:embed="rId70"/>
                    <a:stretch>
                      <a:fillRect/>
                    </a:stretch>
                  </pic:blipFill>
                  <pic:spPr>
                    <a:xfrm>
                      <a:off x="0" y="0"/>
                      <a:ext cx="914400" cy="444500"/>
                    </a:xfrm>
                    <a:prstGeom prst="rect">
                      <a:avLst/>
                    </a:prstGeom>
                  </pic:spPr>
                </pic:pic>
              </a:graphicData>
            </a:graphic>
          </wp:anchor>
        </w:drawing>
      </w:r>
    </w:p>
    <w:p>
      <w:pPr>
        <w:pStyle w:val="0 Block"/>
      </w:pPr>
    </w:p>
    <w:p>
      <w:bookmarkStart w:id="34" w:name="Chapter_1_19"/>
      <w:pPr>
        <w:pStyle w:val="Heading 1"/>
        <w:pageBreakBefore w:val="on"/>
      </w:pPr>
      <w:r>
        <w:t>Chapter 1</w:t>
      </w:r>
      <w:bookmarkEnd w:id="34"/>
    </w:p>
    <w:p>
      <w:pPr>
        <w:pStyle w:val="Para 25"/>
      </w:pPr>
      <w:r>
        <w:t/>
      </w:r>
    </w:p>
    <w:p>
      <w:pPr>
        <w:pStyle w:val="Para 07"/>
      </w:pPr>
      <w:r>
        <w:t xml:space="preserve">Connectivity </w:t>
      </w:r>
    </w:p>
    <w:p>
      <w:pPr>
        <w:pStyle w:val="Normal"/>
      </w:pPr>
      <w:r>
        <w:t xml:space="preserve">As I mentioned in the geographic dispersion discussion, remote and disconnected clients </w:t>
      </w:r>
    </w:p>
    <w:p>
      <w:pPr>
        <w:pStyle w:val="Normal"/>
      </w:pPr>
      <w:r>
        <w:t xml:space="preserve">significantly increase complexity when it comes to desktop administration. Deploying new and </w:t>
      </w:r>
    </w:p>
    <w:p>
      <w:pPr>
        <w:pStyle w:val="Normal"/>
      </w:pPr>
      <w:r>
        <w:t xml:space="preserve">updated software and enforcing software-metering policies are a challenge when working with </w:t>
      </w:r>
    </w:p>
    <w:p>
      <w:pPr>
        <w:pStyle w:val="Normal"/>
      </w:pPr>
      <w:r>
        <w:t xml:space="preserve">notebook computers that dial up only a couple of times a week. Rest assured, there are products that tackle these and most every problem you will encounter—including the pesky problem of </w:t>
      </w:r>
    </w:p>
    <w:p>
      <w:pPr>
        <w:pStyle w:val="Normal"/>
      </w:pPr>
      <w:r>
        <w:t xml:space="preserve">connectivity. </w:t>
      </w:r>
    </w:p>
    <w:p>
      <w:pPr>
        <w:pStyle w:val="Para 25"/>
      </w:pPr>
      <w:r>
        <w:t/>
      </w:r>
    </w:p>
    <w:p>
      <w:pPr>
        <w:pStyle w:val="Para 07"/>
      </w:pPr>
      <w:r>
        <w:t xml:space="preserve">Process </w:t>
      </w:r>
    </w:p>
    <w:p>
      <w:pPr>
        <w:pStyle w:val="Normal"/>
      </w:pPr>
      <w:r>
        <w:t xml:space="preserve">On one hand, if your organization doesn’t have a process for implementing changes, problems </w:t>
      </w:r>
    </w:p>
    <w:p>
      <w:pPr>
        <w:pStyle w:val="Normal"/>
      </w:pPr>
      <w:r>
        <w:t xml:space="preserve">such as undocumented and untested software is installed or approved and needed software isn’t implemented. On the other hand, having too detailed and lengthy a process can slow (sometimes </w:t>
      </w:r>
    </w:p>
    <w:p>
      <w:pPr>
        <w:pStyle w:val="Normal"/>
      </w:pPr>
      <w:r>
        <w:t xml:space="preserve">indefinitely) the ability to effect change on a network. This need for a balanced process </w:t>
      </w:r>
    </w:p>
    <w:p>
      <w:pPr>
        <w:pStyle w:val="Normal"/>
      </w:pPr>
      <w:r>
        <w:t xml:space="preserve">management plan is sometimes overlooked as a factor in effective desktop administration. You need a process, such as the one that Figure 1.4 illustrates, that ensures that ad hoc changes as </w:t>
      </w:r>
    </w:p>
    <w:p>
      <w:pPr>
        <w:pStyle w:val="Normal"/>
      </w:pPr>
      <w:r>
        <w:t xml:space="preserve">well as months of meetings, boards, and reviews are avoided. </w:t>
      </w:r>
    </w:p>
    <w:p>
      <w:pPr>
        <w:pStyle w:val="Para 25"/>
      </w:pPr>
      <w:r>
        <w:t/>
      </w:r>
    </w:p>
    <w:p>
      <w:pPr>
        <w:pStyle w:val="Normal"/>
      </w:pPr>
      <w:r>
        <w:t xml:space="preserve">Obviously, this situation is yet another in which the size of a network takes a significant role in a sensible approach. If a change affects very critical systems or a very large number of systems, a </w:t>
      </w:r>
    </w:p>
    <w:p>
      <w:pPr>
        <w:pStyle w:val="Normal"/>
      </w:pPr>
      <w:r>
        <w:t xml:space="preserve">more detailed and rigorous process for test and review becomes a necessity.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0" cy="495300"/>
            <wp:effectExtent l="0" r="0" t="0" b="0"/>
            <wp:wrapTopAndBottom/>
            <wp:docPr id="67" name="index-33_1.png" descr="index-33_1.png"/>
            <wp:cNvGraphicFramePr>
              <a:graphicFrameLocks noChangeAspect="1"/>
            </wp:cNvGraphicFramePr>
            <a:graphic>
              <a:graphicData uri="http://schemas.openxmlformats.org/drawingml/2006/picture">
                <pic:pic>
                  <pic:nvPicPr>
                    <pic:cNvPr id="0" name="index-33_1.png" descr="index-33_1.png"/>
                    <pic:cNvPicPr/>
                  </pic:nvPicPr>
                  <pic:blipFill>
                    <a:blip r:embed="rId71"/>
                    <a:stretch>
                      <a:fillRect/>
                    </a:stretch>
                  </pic:blipFill>
                  <pic:spPr>
                    <a:xfrm>
                      <a:off x="0" y="0"/>
                      <a:ext cx="3429000" cy="4953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1.4: Example of a simplified change and deployment process. </w:t>
      </w:r>
    </w:p>
    <w:p>
      <w:pPr>
        <w:pStyle w:val="Para 25"/>
      </w:pPr>
      <w:r>
        <w:t/>
      </w:r>
    </w:p>
    <w:p>
      <w:pPr>
        <w:pStyle w:val="Para 07"/>
      </w:pPr>
      <w:r>
        <w:t xml:space="preserve">Security </w:t>
      </w:r>
    </w:p>
    <w:p>
      <w:pPr>
        <w:pStyle w:val="Normal"/>
      </w:pPr>
      <w:r>
        <w:t xml:space="preserve">Security is also a factor in how effectively you can implement desktop administration practices. </w:t>
      </w:r>
    </w:p>
    <w:p>
      <w:pPr>
        <w:pStyle w:val="Normal"/>
      </w:pPr>
      <w:r>
        <w:t xml:space="preserve">Some organizations lock down their desktops so that users can do no more than run their </w:t>
      </w:r>
    </w:p>
    <w:p>
      <w:pPr>
        <w:pStyle w:val="Normal"/>
      </w:pPr>
      <w:r>
        <w:t xml:space="preserve">required software. Others provide everyone with local administrative access to the system to avoid errors or warnings when even the most basic, built-in security restrictions are violated. </w:t>
      </w:r>
    </w:p>
    <w:p>
      <w:pPr>
        <w:pStyle w:val="Normal"/>
      </w:pPr>
      <w:r>
        <w:t xml:space="preserve">What a logon script can accomplish is an indicator of how security can affect your ability to </w:t>
      </w:r>
    </w:p>
    <w:p>
      <w:pPr>
        <w:pStyle w:val="Normal"/>
      </w:pPr>
      <w:r>
        <w:t xml:space="preserve">administer the network. With default security implemented, a logon script can do very little outside automating user settings and environment. Changes to the machine must usually be </w:t>
      </w:r>
    </w:p>
    <w:p>
      <w:pPr>
        <w:pStyle w:val="Normal"/>
      </w:pPr>
      <w:r>
        <w:t xml:space="preserve">handled via an administrative service account or the local system account. In this book, we will </w:t>
      </w:r>
    </w:p>
    <w:p>
      <w:pPr>
        <w:pStyle w:val="Normal"/>
      </w:pPr>
      <w:r>
        <w:t xml:space="preserve">later discuss many of the utilities and third-party solutions available (such as SMS and </w:t>
      </w:r>
    </w:p>
    <w:p>
      <w:pPr>
        <w:pStyle w:val="Normal"/>
      </w:pPr>
      <w:r>
        <w:t xml:space="preserve">ScriptLogic) to address the security limitations inherent of the logon script, which run under the security context of the local user. </w:t>
      </w:r>
    </w:p>
    <w:p>
      <w:pPr>
        <w:pStyle w:val="Para 25"/>
      </w:pPr>
      <w:r>
        <w:t/>
      </w:r>
    </w:p>
    <w:p>
      <w:pPr>
        <w:pStyle w:val="Normal"/>
      </w:pPr>
      <w:r>
        <w:t xml:space="preserve">For those that work in a secure environment, it might be hard to imagine that there are networks </w:t>
      </w:r>
    </w:p>
    <w:p>
      <w:pPr>
        <w:pStyle w:val="Normal"/>
      </w:pPr>
      <w:r>
        <w:t xml:space="preserve">in which users have full control of their systems. However, it is not uncommon for users to be granted administrative access to their systems so that they may handle administrative functions </w:t>
      </w:r>
    </w:p>
    <w:p>
      <w:pPr>
        <w:pStyle w:val="Normal"/>
      </w:pPr>
      <w:r>
        <w:t xml:space="preserve">themselves. Obviously, there is a significant potential for damage to the system, both by users </w:t>
      </w:r>
    </w:p>
    <w:p>
      <w:pPr>
        <w:pStyle w:val="Normal"/>
      </w:pPr>
      <w:r>
        <w:t xml:space="preserve">who do not know what they are doing and users who </w:t>
      </w:r>
      <w:r>
        <w:rPr>
          <w:rStyle w:val="Text0"/>
        </w:rPr>
        <w:t>think</w:t>
      </w:r>
      <w:r>
        <w:t xml:space="preserve"> they know what they are doing. However, despite the potential for problems, users who </w:t>
      </w:r>
      <w:r>
        <w:rPr>
          <w:rStyle w:val="Text0"/>
        </w:rPr>
        <w:t>do</w:t>
      </w:r>
      <w:r>
        <w:t xml:space="preserve"> know what they are doing can reduce </w:t>
      </w:r>
    </w:p>
    <w:p>
      <w:pPr>
        <w:pStyle w:val="Normal"/>
      </w:pPr>
      <w:r>
        <w:t xml:space="preserve">Help desk calls and prevent time wasted waiting for support staff to make a change on the user’s </w:t>
      </w:r>
    </w:p>
    <w:p>
      <w:pPr>
        <w:pStyle w:val="Normal"/>
      </w:pPr>
      <w:r>
        <w:t xml:space="preserve">behalf.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68" name="index-33_2.png" descr="index-33_2.png"/>
            <wp:cNvGraphicFramePr>
              <a:graphicFrameLocks noChangeAspect="1"/>
            </wp:cNvGraphicFramePr>
            <a:graphic>
              <a:graphicData uri="http://schemas.openxmlformats.org/drawingml/2006/picture">
                <pic:pic>
                  <pic:nvPicPr>
                    <pic:cNvPr id="0" name="index-33_2.png" descr="index-33_2.png"/>
                    <pic:cNvPicPr/>
                  </pic:nvPicPr>
                  <pic:blipFill>
                    <a:blip r:embed="rId7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69" name="index-33_3.png" descr="index-33_3.png"/>
            <wp:cNvGraphicFramePr>
              <a:graphicFrameLocks noChangeAspect="1"/>
            </wp:cNvGraphicFramePr>
            <a:graphic>
              <a:graphicData uri="http://schemas.openxmlformats.org/drawingml/2006/picture">
                <pic:pic>
                  <pic:nvPicPr>
                    <pic:cNvPr id="0" name="index-33_3.png" descr="index-33_3.png"/>
                    <pic:cNvPicPr/>
                  </pic:nvPicPr>
                  <pic:blipFill>
                    <a:blip r:embed="rId73"/>
                    <a:stretch>
                      <a:fillRect/>
                    </a:stretch>
                  </pic:blipFill>
                  <pic:spPr>
                    <a:xfrm>
                      <a:off x="0" y="0"/>
                      <a:ext cx="914400" cy="444500"/>
                    </a:xfrm>
                    <a:prstGeom prst="rect">
                      <a:avLst/>
                    </a:prstGeom>
                  </pic:spPr>
                </pic:pic>
              </a:graphicData>
            </a:graphic>
          </wp:anchor>
        </w:drawing>
      </w:r>
    </w:p>
    <w:p>
      <w:pPr>
        <w:pStyle w:val="0 Block"/>
      </w:pPr>
    </w:p>
    <w:p>
      <w:bookmarkStart w:id="35" w:name="Chapter_1_20"/>
      <w:pPr>
        <w:pStyle w:val="Heading 1"/>
        <w:pageBreakBefore w:val="on"/>
      </w:pPr>
      <w:r>
        <w:t>Chapter 1</w:t>
      </w:r>
      <w:bookmarkEnd w:id="35"/>
    </w:p>
    <w:p>
      <w:pPr>
        <w:pStyle w:val="Para 25"/>
      </w:pPr>
      <w:r>
        <w:t/>
      </w:r>
    </w:p>
    <w:p>
      <w:pPr>
        <w:pStyle w:val="Normal"/>
      </w:pPr>
      <w:r>
        <w:t xml:space="preserve">In contrast, some networks are locked down beyond the default settings to protect users from </w:t>
      </w:r>
    </w:p>
    <w:p>
      <w:pPr>
        <w:pStyle w:val="Normal"/>
      </w:pPr>
      <w:r>
        <w:t xml:space="preserve">themselves and to maintain control of system configuration and content to the greatest degree </w:t>
      </w:r>
    </w:p>
    <w:p>
      <w:pPr>
        <w:pStyle w:val="Normal"/>
      </w:pPr>
      <w:r>
        <w:t xml:space="preserve">possible. Keeping users from being able to modify certain settings can account for a direct decrease in support costs. Although this security method might sound favorable, there is a </w:t>
      </w:r>
    </w:p>
    <w:p>
      <w:pPr>
        <w:pStyle w:val="Normal"/>
      </w:pPr>
      <w:r>
        <w:t xml:space="preserve">definite downside to this approach. Significant testing must be performed on new applications </w:t>
      </w:r>
    </w:p>
    <w:p>
      <w:pPr>
        <w:pStyle w:val="Normal"/>
      </w:pPr>
      <w:r>
        <w:t xml:space="preserve">and updates to ensure that they are able to operate in the locked down environment. Deployment capabilities may also be hindered and will result in an increased complexity in many areas of </w:t>
      </w:r>
    </w:p>
    <w:p>
      <w:pPr>
        <w:pStyle w:val="Normal"/>
      </w:pPr>
      <w:r>
        <w:t xml:space="preserve">desktop administration. </w:t>
      </w:r>
    </w:p>
    <w:p>
      <w:pPr>
        <w:pStyle w:val="Para 25"/>
      </w:pPr>
      <w:r>
        <w:t/>
      </w:r>
    </w:p>
    <w:p>
      <w:pPr>
        <w:pStyle w:val="Para 07"/>
      </w:pPr>
      <w:r>
        <w:t xml:space="preserve">Desktop Administration in Action </w:t>
      </w:r>
    </w:p>
    <w:p>
      <w:pPr>
        <w:pStyle w:val="Normal"/>
      </w:pPr>
      <w:r>
        <w:t xml:space="preserve">Although these factors are very real, perhaps a few examples of how you’ll actually use desktop </w:t>
      </w:r>
    </w:p>
    <w:p>
      <w:pPr>
        <w:pStyle w:val="Normal"/>
      </w:pPr>
      <w:r>
        <w:t xml:space="preserve">administration would be helpful. The following situations provide a more situational overview of problems you might face and how desktop administration tools and practices will help you </w:t>
      </w:r>
    </w:p>
    <w:p>
      <w:pPr>
        <w:pStyle w:val="Normal"/>
      </w:pPr>
      <w:r>
        <w:t xml:space="preserve">overcome them. </w:t>
      </w:r>
    </w:p>
    <w:p>
      <w:pPr>
        <w:pStyle w:val="Para 25"/>
      </w:pPr>
      <w:r>
        <w:t/>
      </w:r>
    </w:p>
    <w:p>
      <w:pPr>
        <w:pStyle w:val="Para 09"/>
      </w:pPr>
      <w:r>
        <w:t xml:space="preserve">Help Desk Calls </w:t>
      </w:r>
    </w:p>
    <w:p>
      <w:pPr>
        <w:pStyle w:val="Para 25"/>
      </w:pPr>
      <w:r>
        <w:t/>
      </w:r>
    </w:p>
    <w:p>
      <w:pPr>
        <w:pStyle w:val="Normal"/>
      </w:pPr>
      <w:r>
        <w:t xml:space="preserve">One of the most often-employed desktop administration solutions is the Help desk. Whether you are implementing tools to help engineer solutions for a Help desk or you are the Help desk, the </w:t>
      </w:r>
    </w:p>
    <w:p>
      <w:pPr>
        <w:pStyle w:val="Normal"/>
      </w:pPr>
      <w:r>
        <w:t xml:space="preserve">problems you face can be broken down into just a couple of categories. </w:t>
      </w:r>
    </w:p>
    <w:p>
      <w:pPr>
        <w:pStyle w:val="Para 25"/>
      </w:pPr>
      <w:r>
        <w:t/>
      </w:r>
    </w:p>
    <w:p>
      <w:pPr>
        <w:pStyle w:val="Normal"/>
      </w:pPr>
      <w:r>
        <w:t xml:space="preserve">Probably the most common Help desk call is for help with a specific application. Not necessarily because there is a problem, but because the user simply does not know how to perform the action </w:t>
      </w:r>
    </w:p>
    <w:p>
      <w:pPr>
        <w:pStyle w:val="Normal"/>
      </w:pPr>
      <w:r>
        <w:t xml:space="preserve">he or she requires. The frequency of this type of problem will vary depending on the level of </w:t>
      </w:r>
    </w:p>
    <w:p>
      <w:pPr>
        <w:pStyle w:val="Normal"/>
      </w:pPr>
      <w:r>
        <w:t xml:space="preserve">technical knowledge of your user base, but rest assured that every administrator has at least a handful of individuals that just like to ask questions. For such individuals, a remote control tool </w:t>
      </w:r>
    </w:p>
    <w:p>
      <w:pPr>
        <w:pStyle w:val="Normal"/>
      </w:pPr>
      <w:r>
        <w:t xml:space="preserve">can save you considerable time. Show the user how to accomplish the required task while talking </w:t>
      </w:r>
    </w:p>
    <w:p>
      <w:pPr>
        <w:pStyle w:val="Normal"/>
      </w:pPr>
      <w:r>
        <w:t xml:space="preserve">them through it on the phone to avoid the trip to the user’s desk and the inevitable other </w:t>
      </w:r>
    </w:p>
    <w:p>
      <w:pPr>
        <w:pStyle w:val="Normal"/>
      </w:pPr>
      <w:r>
        <w:t xml:space="preserve">distractions that come with that trip. </w:t>
      </w:r>
    </w:p>
    <w:p>
      <w:pPr>
        <w:pStyle w:val="Para 25"/>
      </w:pPr>
      <w:r>
        <w:t/>
      </w:r>
    </w:p>
    <w:p>
      <w:pPr>
        <w:pStyle w:val="Normal"/>
      </w:pPr>
      <w:r>
        <w:t xml:space="preserve">Requests for software installations and upgrades are yet another common type of Help desk call. </w:t>
      </w:r>
    </w:p>
    <w:p>
      <w:pPr>
        <w:pStyle w:val="Normal"/>
      </w:pPr>
      <w:r>
        <w:t xml:space="preserve">The ability to remotely satisfy this request using a documented and tested installation package is </w:t>
      </w:r>
    </w:p>
    <w:p>
      <w:pPr>
        <w:pStyle w:val="Normal"/>
      </w:pPr>
      <w:r>
        <w:t xml:space="preserve">invaluable. With such a solution in place, the support call can be reduced from a half hour or longer to just a couple of minutes. </w:t>
      </w:r>
    </w:p>
    <w:p>
      <w:pPr>
        <w:pStyle w:val="Para 25"/>
      </w:pPr>
      <w:r>
        <w:t/>
      </w:r>
    </w:p>
    <w:p>
      <w:pPr>
        <w:pStyle w:val="Para 09"/>
      </w:pPr>
      <w:r>
        <w:t xml:space="preserve">Handling New Systems </w:t>
      </w:r>
    </w:p>
    <w:p>
      <w:pPr>
        <w:pStyle w:val="Para 25"/>
      </w:pPr>
      <w:r>
        <w:t/>
      </w:r>
    </w:p>
    <w:p>
      <w:pPr>
        <w:pStyle w:val="Normal"/>
      </w:pPr>
      <w:r>
        <w:t xml:space="preserve">As your organization expands and grows, you will encounter a constant need for the deployment of new systems. Whether you have a staging area in which such systems are configured </w:t>
      </w:r>
    </w:p>
    <w:p>
      <w:pPr>
        <w:pStyle w:val="Normal"/>
      </w:pPr>
      <w:r>
        <w:t xml:space="preserve">beforehand or the new computer is already at the user’s desk, new system rollouts can be a </w:t>
      </w:r>
    </w:p>
    <w:p>
      <w:pPr>
        <w:pStyle w:val="Normal"/>
      </w:pPr>
      <w:r>
        <w:t xml:space="preserve">lengthy endeavor. </w:t>
      </w:r>
    </w:p>
    <w:p>
      <w:pPr>
        <w:pStyle w:val="Para 25"/>
      </w:pPr>
      <w:r>
        <w:t/>
      </w:r>
    </w:p>
    <w:p>
      <w:pPr>
        <w:pStyle w:val="Normal"/>
      </w:pPr>
      <w:r>
        <w:t xml:space="preserve">Requests to add a new machine or move an existing one can be among the most time-consuming </w:t>
      </w:r>
    </w:p>
    <w:p>
      <w:pPr>
        <w:pStyle w:val="Normal"/>
      </w:pPr>
      <w:r>
        <w:t xml:space="preserve">desktop administration tasks if your organization lacks an automated process. Having a new </w:t>
      </w:r>
    </w:p>
    <w:p>
      <w:pPr>
        <w:pStyle w:val="Normal"/>
      </w:pPr>
      <w:r>
        <w:t xml:space="preserve">employee wait while a fresh machine is built from the ground up would be the worst way to </w:t>
      </w:r>
    </w:p>
    <w:p>
      <w:pPr>
        <w:pStyle w:val="Normal"/>
      </w:pPr>
      <w:r>
        <w:t xml:space="preserve">handle such a situation. Here, the new employee gets a bad impression of the way things work and the administrator spends hours or even a full day away from his or her other tasks. An </w:t>
      </w:r>
    </w:p>
    <w:p>
      <w:pPr>
        <w:pStyle w:val="Normal"/>
      </w:pPr>
      <w:r>
        <w:t xml:space="preserve">automated process for setting up a machine and applying required software goes a very long way </w:t>
      </w:r>
    </w:p>
    <w:p>
      <w:pPr>
        <w:pStyle w:val="Normal"/>
      </w:pPr>
      <w:r>
        <w:t xml:space="preserve">to reducing the impact of this demanding administrative chore.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70" name="index-34_1.png" descr="index-34_1.png"/>
            <wp:cNvGraphicFramePr>
              <a:graphicFrameLocks noChangeAspect="1"/>
            </wp:cNvGraphicFramePr>
            <a:graphic>
              <a:graphicData uri="http://schemas.openxmlformats.org/drawingml/2006/picture">
                <pic:pic>
                  <pic:nvPicPr>
                    <pic:cNvPr id="0" name="index-34_1.png" descr="index-34_1.png"/>
                    <pic:cNvPicPr/>
                  </pic:nvPicPr>
                  <pic:blipFill>
                    <a:blip r:embed="rId7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71" name="index-34_2.png" descr="index-34_2.png"/>
            <wp:cNvGraphicFramePr>
              <a:graphicFrameLocks noChangeAspect="1"/>
            </wp:cNvGraphicFramePr>
            <a:graphic>
              <a:graphicData uri="http://schemas.openxmlformats.org/drawingml/2006/picture">
                <pic:pic>
                  <pic:nvPicPr>
                    <pic:cNvPr id="0" name="index-34_2.png" descr="index-34_2.png"/>
                    <pic:cNvPicPr/>
                  </pic:nvPicPr>
                  <pic:blipFill>
                    <a:blip r:embed="rId75"/>
                    <a:stretch>
                      <a:fillRect/>
                    </a:stretch>
                  </pic:blipFill>
                  <pic:spPr>
                    <a:xfrm>
                      <a:off x="0" y="0"/>
                      <a:ext cx="914400" cy="444500"/>
                    </a:xfrm>
                    <a:prstGeom prst="rect">
                      <a:avLst/>
                    </a:prstGeom>
                  </pic:spPr>
                </pic:pic>
              </a:graphicData>
            </a:graphic>
          </wp:anchor>
        </w:drawing>
      </w:r>
    </w:p>
    <w:p>
      <w:pPr>
        <w:pStyle w:val="0 Block"/>
      </w:pPr>
    </w:p>
    <w:p>
      <w:bookmarkStart w:id="36" w:name="Chapter_1_21"/>
      <w:pPr>
        <w:pStyle w:val="Heading 1"/>
        <w:pageBreakBefore w:val="on"/>
      </w:pPr>
      <w:r>
        <w:t>Chapter 1</w:t>
      </w:r>
      <w:bookmarkEnd w:id="36"/>
    </w:p>
    <w:p>
      <w:pPr>
        <w:pStyle w:val="Para 25"/>
      </w:pPr>
      <w:r>
        <w:t/>
      </w:r>
    </w:p>
    <w:p>
      <w:pPr>
        <w:pStyle w:val="Para 12"/>
      </w:pPr>
      <w:r>
        <w:t xml:space="preserve">Outsourcing Desktop Administration </w:t>
      </w:r>
    </w:p>
    <w:p>
      <w:pPr>
        <w:pStyle w:val="Para 25"/>
      </w:pPr>
      <w:r>
        <w:t/>
      </w:r>
    </w:p>
    <w:p>
      <w:pPr>
        <w:pStyle w:val="Normal"/>
      </w:pPr>
      <w:r>
        <w:t xml:space="preserve">There are a growing number of management service providers (MSPs) that provide desktop </w:t>
      </w:r>
    </w:p>
    <w:p>
      <w:pPr>
        <w:pStyle w:val="Normal"/>
      </w:pPr>
      <w:r>
        <w:t xml:space="preserve">administration services as a monthly service. With the capabilities of remotely managing and </w:t>
      </w:r>
    </w:p>
    <w:p>
      <w:pPr>
        <w:pStyle w:val="Normal"/>
      </w:pPr>
      <w:r>
        <w:t xml:space="preserve">supporting systems, it is easy to see how such operations could be handled as an off-site service. The more complex the operation, the more cost-efficient it becomes to outsource such an </w:t>
      </w:r>
    </w:p>
    <w:p>
      <w:pPr>
        <w:pStyle w:val="Normal"/>
      </w:pPr>
      <w:r>
        <w:t xml:space="preserve">operation. </w:t>
      </w:r>
    </w:p>
    <w:p>
      <w:pPr>
        <w:pStyle w:val="Para 25"/>
      </w:pPr>
      <w:r>
        <w:t/>
      </w:r>
    </w:p>
    <w:p>
      <w:pPr>
        <w:pStyle w:val="Normal"/>
      </w:pPr>
      <w:r>
        <w:t xml:space="preserve">There are positive and negative aspects of this approach. Regardless of whether you outsource or </w:t>
      </w:r>
    </w:p>
    <w:p>
      <w:pPr>
        <w:pStyle w:val="Normal"/>
      </w:pPr>
      <w:r>
        <w:t xml:space="preserve">internally handle desktop administration, it is important to understand the best practices and methods available so that you can be sure that your organization’s desktop administration </w:t>
      </w:r>
    </w:p>
    <w:p>
      <w:pPr>
        <w:pStyle w:val="Normal"/>
      </w:pPr>
      <w:r>
        <w:t xml:space="preserve">practices (even if they’re outsourced) make sense for your company. </w:t>
      </w:r>
    </w:p>
    <w:p>
      <w:pPr>
        <w:pStyle w:val="Para 25"/>
      </w:pPr>
      <w:r>
        <w:t/>
      </w:r>
    </w:p>
    <w:p>
      <w:pPr>
        <w:pStyle w:val="Para 07"/>
      </w:pPr>
      <w:r>
        <w:t xml:space="preserve">The Benefits of Outsourcing </w:t>
      </w:r>
    </w:p>
    <w:p>
      <w:pPr>
        <w:pStyle w:val="Normal"/>
      </w:pPr>
      <w:r>
        <w:t xml:space="preserve">The following points highlight the considerations for outsourcing desktop administration. </w:t>
      </w:r>
    </w:p>
    <w:p>
      <w:pPr>
        <w:pStyle w:val="Para 25"/>
      </w:pPr>
      <w:r>
        <w:t/>
      </w:r>
    </w:p>
    <w:p>
      <w:pPr>
        <w:pStyle w:val="Para 04"/>
      </w:pPr>
      <w:r>
        <w:t xml:space="preserve">• </w:t>
        <w:t xml:space="preserve">Reduce implementation risks—There is risk in taking on the implementation of remote </w:t>
      </w:r>
    </w:p>
    <w:p>
      <w:pPr>
        <w:pStyle w:val="Para 01"/>
      </w:pPr>
      <w:r>
        <w:t xml:space="preserve">and automated solutions. Many such systems take a very long time to plan and implement, others might fail to perform the implementation altogether. An MSP focuses </w:t>
      </w:r>
    </w:p>
    <w:p>
      <w:pPr>
        <w:pStyle w:val="Para 01"/>
      </w:pPr>
      <w:r>
        <w:t xml:space="preserve">on such deployments on a regular basis, which translates into an ability to perform </w:t>
      </w:r>
    </w:p>
    <w:p>
      <w:pPr>
        <w:pStyle w:val="Para 01"/>
      </w:pPr>
      <w:r>
        <w:t xml:space="preserve">implementations of these systems with a much higher degree of success. </w:t>
      </w:r>
    </w:p>
    <w:p>
      <w:pPr>
        <w:pStyle w:val="Para 25"/>
      </w:pPr>
      <w:r>
        <w:t/>
      </w:r>
    </w:p>
    <w:p>
      <w:pPr>
        <w:pStyle w:val="Para 04"/>
      </w:pPr>
      <w:r>
        <w:t xml:space="preserve">• Gain access to subject matter experts—A company that focuses on desktop </w:t>
      </w:r>
    </w:p>
    <w:p>
      <w:pPr>
        <w:pStyle w:val="Para 01"/>
      </w:pPr>
      <w:r>
        <w:t xml:space="preserve">administration issues and performs such tasks for multiple networks will have a </w:t>
      </w:r>
    </w:p>
    <w:p>
      <w:pPr>
        <w:pStyle w:val="Para 01"/>
      </w:pPr>
      <w:r>
        <w:t xml:space="preserve">proficiency in this area that would be difficult to develop in-house. </w:t>
      </w:r>
    </w:p>
    <w:p>
      <w:pPr>
        <w:pStyle w:val="Para 25"/>
      </w:pPr>
      <w:r>
        <w:t/>
      </w:r>
    </w:p>
    <w:p>
      <w:pPr>
        <w:pStyle w:val="Para 04"/>
      </w:pPr>
      <w:r>
        <w:t xml:space="preserve">• </w:t>
        <w:t xml:space="preserve">Known costs—Desktop administration is an afterthought for some organizations that, in </w:t>
      </w:r>
    </w:p>
    <w:p>
      <w:pPr>
        <w:pStyle w:val="Para 01"/>
      </w:pPr>
      <w:r>
        <w:t xml:space="preserve">turn, apply little resources to its success. This shortcoming often leads to failures, which increase the costs associated with desktop administration. With a service approach, the </w:t>
      </w:r>
    </w:p>
    <w:p>
      <w:pPr>
        <w:pStyle w:val="Para 01"/>
      </w:pPr>
      <w:r>
        <w:t xml:space="preserve">costs and services are laid out and are therefore easier to plan a budget around. </w:t>
      </w:r>
    </w:p>
    <w:p>
      <w:pPr>
        <w:pStyle w:val="Para 25"/>
      </w:pPr>
      <w:r>
        <w:t/>
      </w:r>
    </w:p>
    <w:p>
      <w:pPr>
        <w:pStyle w:val="Para 04"/>
      </w:pPr>
      <w:r>
        <w:t xml:space="preserve">• Process integration speed—Planning, implementing, and administering desktop </w:t>
      </w:r>
    </w:p>
    <w:p>
      <w:pPr>
        <w:pStyle w:val="Para 01"/>
      </w:pPr>
      <w:r>
        <w:t xml:space="preserve">administration tools can be challenging and time-consuming. A company that does so for </w:t>
      </w:r>
    </w:p>
    <w:p>
      <w:pPr>
        <w:pStyle w:val="Para 01"/>
      </w:pPr>
      <w:r>
        <w:t xml:space="preserve">multiple clients, such as an MSP, will be considerably faster implementing desktop administration tools and processes than a group of individuals who are doing so for the </w:t>
      </w:r>
    </w:p>
    <w:p>
      <w:pPr>
        <w:pStyle w:val="Para 01"/>
      </w:pPr>
      <w:r>
        <w:t xml:space="preserve">first time. </w:t>
      </w:r>
    </w:p>
    <w:p>
      <w:pPr>
        <w:pStyle w:val="Para 25"/>
      </w:pPr>
      <w:r>
        <w:t/>
      </w:r>
    </w:p>
    <w:p>
      <w:pPr>
        <w:pStyle w:val="Para 04"/>
      </w:pPr>
      <w:r>
        <w:t xml:space="preserve">• </w:t>
        <w:t xml:space="preserve">Focus on core competencies—In the IT field, a certain specialization of skills can be a </w:t>
      </w:r>
    </w:p>
    <w:p>
      <w:pPr>
        <w:pStyle w:val="Para 01"/>
      </w:pPr>
      <w:r>
        <w:t xml:space="preserve">necessity. With technology changing on a constant basis, it is easier for many companies to outsource some part of their IT operation to a firm with expertise, particularly in an </w:t>
      </w:r>
    </w:p>
    <w:p>
      <w:pPr>
        <w:pStyle w:val="Para 01"/>
      </w:pPr>
      <w:r>
        <w:t xml:space="preserve">area as challenging as remote management.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72" name="index-35_1.png" descr="index-35_1.png"/>
            <wp:cNvGraphicFramePr>
              <a:graphicFrameLocks noChangeAspect="1"/>
            </wp:cNvGraphicFramePr>
            <a:graphic>
              <a:graphicData uri="http://schemas.openxmlformats.org/drawingml/2006/picture">
                <pic:pic>
                  <pic:nvPicPr>
                    <pic:cNvPr id="0" name="index-35_1.png" descr="index-35_1.png"/>
                    <pic:cNvPicPr/>
                  </pic:nvPicPr>
                  <pic:blipFill>
                    <a:blip r:embed="rId7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73" name="index-35_2.png" descr="index-35_2.png"/>
            <wp:cNvGraphicFramePr>
              <a:graphicFrameLocks noChangeAspect="1"/>
            </wp:cNvGraphicFramePr>
            <a:graphic>
              <a:graphicData uri="http://schemas.openxmlformats.org/drawingml/2006/picture">
                <pic:pic>
                  <pic:nvPicPr>
                    <pic:cNvPr id="0" name="index-35_2.png" descr="index-35_2.png"/>
                    <pic:cNvPicPr/>
                  </pic:nvPicPr>
                  <pic:blipFill>
                    <a:blip r:embed="rId77"/>
                    <a:stretch>
                      <a:fillRect/>
                    </a:stretch>
                  </pic:blipFill>
                  <pic:spPr>
                    <a:xfrm>
                      <a:off x="0" y="0"/>
                      <a:ext cx="914400" cy="444500"/>
                    </a:xfrm>
                    <a:prstGeom prst="rect">
                      <a:avLst/>
                    </a:prstGeom>
                  </pic:spPr>
                </pic:pic>
              </a:graphicData>
            </a:graphic>
          </wp:anchor>
        </w:drawing>
      </w:r>
    </w:p>
    <w:p>
      <w:pPr>
        <w:pStyle w:val="0 Block"/>
      </w:pPr>
    </w:p>
    <w:p>
      <w:bookmarkStart w:id="37" w:name="Chapter_1_22"/>
      <w:pPr>
        <w:pStyle w:val="Heading 1"/>
        <w:pageBreakBefore w:val="on"/>
      </w:pPr>
      <w:r>
        <w:t>Chapter 1</w:t>
      </w:r>
      <w:bookmarkEnd w:id="37"/>
    </w:p>
    <w:p>
      <w:pPr>
        <w:pStyle w:val="Para 25"/>
      </w:pPr>
      <w:r>
        <w:t/>
      </w:r>
    </w:p>
    <w:p>
      <w:pPr>
        <w:pStyle w:val="Para 07"/>
      </w:pPr>
      <w:r>
        <w:t xml:space="preserve">The Drawbacks of Outsourcing </w:t>
      </w:r>
    </w:p>
    <w:p>
      <w:pPr>
        <w:pStyle w:val="Normal"/>
      </w:pPr>
      <w:r>
        <w:t xml:space="preserve">If the benefits listed sound too good to be true, that might very well be the case. Like every other </w:t>
      </w:r>
    </w:p>
    <w:p>
      <w:pPr>
        <w:pStyle w:val="Normal"/>
      </w:pPr>
      <w:r>
        <w:t xml:space="preserve">decision, you must consider the drawbacks of outsourcing. </w:t>
      </w:r>
    </w:p>
    <w:p>
      <w:pPr>
        <w:pStyle w:val="Para 25"/>
      </w:pPr>
      <w:r>
        <w:t/>
      </w:r>
    </w:p>
    <w:p>
      <w:pPr>
        <w:pStyle w:val="Para 04"/>
      </w:pPr>
      <w:r>
        <w:t xml:space="preserve">• </w:t>
        <w:t xml:space="preserve">Level of control—By out sourcing desktop administration operations, you inevitably </w:t>
      </w:r>
    </w:p>
    <w:p>
      <w:pPr>
        <w:pStyle w:val="Para 01"/>
      </w:pPr>
      <w:r>
        <w:t xml:space="preserve">loose some control of the network. To meet certain service level agreements (SLAs), </w:t>
      </w:r>
    </w:p>
    <w:p>
      <w:pPr>
        <w:pStyle w:val="Para 01"/>
      </w:pPr>
      <w:r>
        <w:t xml:space="preserve">policies may be required that restrict your ability to perform these tasks. </w:t>
      </w:r>
    </w:p>
    <w:p>
      <w:pPr>
        <w:pStyle w:val="Para 25"/>
      </w:pPr>
      <w:r>
        <w:t/>
      </w:r>
    </w:p>
    <w:p>
      <w:pPr>
        <w:pStyle w:val="Para 04"/>
      </w:pPr>
      <w:r>
        <w:t xml:space="preserve">• </w:t>
        <w:t xml:space="preserve">Security—Though you would never take on such a service without reasonable assurances </w:t>
      </w:r>
    </w:p>
    <w:p>
      <w:pPr>
        <w:pStyle w:val="Para 01"/>
      </w:pPr>
      <w:r>
        <w:t xml:space="preserve">regarding security, there is still a controlled security hole being opened when you </w:t>
      </w:r>
    </w:p>
    <w:p>
      <w:pPr>
        <w:pStyle w:val="Para 01"/>
      </w:pPr>
      <w:r>
        <w:t xml:space="preserve">outsource administration. Desktop administration services may involve remote control, </w:t>
      </w:r>
    </w:p>
    <w:p>
      <w:pPr>
        <w:pStyle w:val="Para 01"/>
      </w:pPr>
      <w:r>
        <w:t xml:space="preserve">imaging, and application deployment—all of which are very damaging in the hands of the wrong people. </w:t>
      </w:r>
    </w:p>
    <w:p>
      <w:pPr>
        <w:pStyle w:val="Para 25"/>
      </w:pPr>
      <w:r>
        <w:t/>
      </w:r>
    </w:p>
    <w:p>
      <w:pPr>
        <w:pStyle w:val="Para 04"/>
      </w:pPr>
      <w:r>
        <w:t xml:space="preserve">• </w:t>
        <w:t xml:space="preserve">Staffing conflicts—If you are reading this book, there is a good chance that your job </w:t>
      </w:r>
    </w:p>
    <w:p>
      <w:pPr>
        <w:pStyle w:val="Para 01"/>
      </w:pPr>
      <w:r>
        <w:t xml:space="preserve">could be threatened by outsourcing desktop administrative tasks. It will be critical that the </w:t>
      </w:r>
    </w:p>
    <w:p>
      <w:pPr>
        <w:pStyle w:val="Para 01"/>
      </w:pPr>
      <w:r>
        <w:t>existing IT staff be either moved on to more advanced work or that the outsourcing service work with the existing IT staff as a secondary authority. Placing powerful day-to-</w:t>
      </w:r>
    </w:p>
    <w:p>
      <w:pPr>
        <w:pStyle w:val="Para 01"/>
      </w:pPr>
      <w:r>
        <w:t xml:space="preserve">day operations in the hands of an external company might cause friction between internal </w:t>
      </w:r>
    </w:p>
    <w:p>
      <w:pPr>
        <w:pStyle w:val="Para 01"/>
      </w:pPr>
      <w:r>
        <w:t xml:space="preserve">and external IT staff if not handled in a very delicate manner. </w:t>
      </w:r>
    </w:p>
    <w:p>
      <w:pPr>
        <w:pStyle w:val="Para 25"/>
      </w:pPr>
      <w:r>
        <w:t/>
      </w:r>
    </w:p>
    <w:p>
      <w:pPr>
        <w:pStyle w:val="Para 02"/>
      </w:pPr>
      <w:r>
        <w:t xml:space="preserve">For a directory of companies that provides these services visit http://www.msplocator.com. </w:t>
      </w:r>
    </w:p>
    <w:p>
      <w:pPr>
        <w:pStyle w:val="Para 25"/>
      </w:pPr>
      <w:r>
        <w:t/>
      </w:r>
    </w:p>
    <w:p>
      <w:pPr>
        <w:pStyle w:val="Para 12"/>
      </w:pPr>
      <w:r>
        <w:t xml:space="preserve">Summary </w:t>
      </w:r>
    </w:p>
    <w:p>
      <w:pPr>
        <w:pStyle w:val="Para 25"/>
      </w:pPr>
      <w:r>
        <w:t/>
      </w:r>
    </w:p>
    <w:p>
      <w:pPr>
        <w:pStyle w:val="Normal"/>
      </w:pPr>
      <w:r>
        <w:t xml:space="preserve">In this chapter, we covered some of the basic concepts behind desktop administration. We </w:t>
      </w:r>
    </w:p>
    <w:p>
      <w:pPr>
        <w:pStyle w:val="Normal"/>
      </w:pPr>
      <w:r>
        <w:t xml:space="preserve">discussed the many benefits of implementing sound desktop administration practices including a </w:t>
      </w:r>
    </w:p>
    <w:p>
      <w:pPr>
        <w:pStyle w:val="Normal"/>
      </w:pPr>
      <w:r>
        <w:t xml:space="preserve">reduced TCO, an increase in user productivity and the ability to realize rapid and accurate system recovery. In addition, we touched on whether the size of your company justifies automating </w:t>
      </w:r>
    </w:p>
    <w:p>
      <w:pPr>
        <w:pStyle w:val="Normal"/>
      </w:pPr>
      <w:r>
        <w:t xml:space="preserve">desktop administration practices. As we explored, desktop administration encompasses a large </w:t>
      </w:r>
    </w:p>
    <w:p>
      <w:pPr>
        <w:pStyle w:val="Normal"/>
      </w:pPr>
      <w:r>
        <w:t xml:space="preserve">scope of tools, tasks, and practices, and I let you know which topics will be covered in future chapters. I provided information about the need to establish a process to determine how decisions </w:t>
      </w:r>
    </w:p>
    <w:p>
      <w:pPr>
        <w:pStyle w:val="Normal"/>
      </w:pPr>
      <w:r>
        <w:t xml:space="preserve">are made that affect users’ systems, how control is delegated, and how users will be informed </w:t>
      </w:r>
    </w:p>
    <w:p>
      <w:pPr>
        <w:pStyle w:val="Normal"/>
      </w:pPr>
      <w:r>
        <w:t xml:space="preserve">and educated about desktop administration activities. Finally, we considered the factors in effective desktop administration and whether avoiding these potential pitfalls through </w:t>
      </w:r>
    </w:p>
    <w:p>
      <w:pPr>
        <w:pStyle w:val="Normal"/>
      </w:pPr>
      <w:r>
        <w:t xml:space="preserve">outsourcing makes sense for your organization. </w:t>
      </w:r>
    </w:p>
    <w:p>
      <w:pPr>
        <w:pStyle w:val="Para 25"/>
      </w:pPr>
      <w:r>
        <w:t/>
      </w:r>
    </w:p>
    <w:p>
      <w:pPr>
        <w:pStyle w:val="Normal"/>
      </w:pPr>
      <w:r>
        <w:t xml:space="preserve">In the chapters that follow, we’ll delve deeper into the detailed aspects of desktop administration, </w:t>
      </w:r>
    </w:p>
    <w:p>
      <w:pPr>
        <w:pStyle w:val="Normal"/>
      </w:pPr>
      <w:r>
        <w:t xml:space="preserve">and discuss the technologies and tools available to meet these mission-critical needs. Specifically, in Chapter 2, we’ll discover system deployment considerations, options, and tools.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74" name="index-36_1.png" descr="index-36_1.png"/>
            <wp:cNvGraphicFramePr>
              <a:graphicFrameLocks noChangeAspect="1"/>
            </wp:cNvGraphicFramePr>
            <a:graphic>
              <a:graphicData uri="http://schemas.openxmlformats.org/drawingml/2006/picture">
                <pic:pic>
                  <pic:nvPicPr>
                    <pic:cNvPr id="0" name="index-36_1.png" descr="index-36_1.png"/>
                    <pic:cNvPicPr/>
                  </pic:nvPicPr>
                  <pic:blipFill>
                    <a:blip r:embed="rId7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75" name="index-36_2.png" descr="index-36_2.png"/>
            <wp:cNvGraphicFramePr>
              <a:graphicFrameLocks noChangeAspect="1"/>
            </wp:cNvGraphicFramePr>
            <a:graphic>
              <a:graphicData uri="http://schemas.openxmlformats.org/drawingml/2006/picture">
                <pic:pic>
                  <pic:nvPicPr>
                    <pic:cNvPr id="0" name="index-36_2.png" descr="index-36_2.png"/>
                    <pic:cNvPicPr/>
                  </pic:nvPicPr>
                  <pic:blipFill>
                    <a:blip r:embed="rId79"/>
                    <a:stretch>
                      <a:fillRect/>
                    </a:stretch>
                  </pic:blipFill>
                  <pic:spPr>
                    <a:xfrm>
                      <a:off x="0" y="0"/>
                      <a:ext cx="914400" cy="444500"/>
                    </a:xfrm>
                    <a:prstGeom prst="rect">
                      <a:avLst/>
                    </a:prstGeom>
                  </pic:spPr>
                </pic:pic>
              </a:graphicData>
            </a:graphic>
          </wp:anchor>
        </w:drawing>
      </w:r>
    </w:p>
    <w:p>
      <w:pPr>
        <w:pStyle w:val="0 Block"/>
      </w:pPr>
    </w:p>
    <w:p>
      <w:bookmarkStart w:id="38" w:name="Chapter_2"/>
      <w:pPr>
        <w:pStyle w:val="Heading 1"/>
        <w:pageBreakBefore w:val="on"/>
      </w:pPr>
      <w:r>
        <w:t>Chapter 2</w:t>
      </w:r>
      <w:bookmarkEnd w:id="38"/>
    </w:p>
    <w:p>
      <w:pPr>
        <w:pStyle w:val="Para 25"/>
      </w:pPr>
      <w:r>
        <w:t/>
      </w:r>
    </w:p>
    <w:p>
      <w:pPr>
        <w:pStyle w:val="0 Block"/>
      </w:pPr>
    </w:p>
    <w:p>
      <w:bookmarkStart w:id="39" w:name="Chapter_2__OS_Deployment"/>
      <w:pPr>
        <w:pStyle w:val="Para 23"/>
        <w:pageBreakBefore w:val="on"/>
      </w:pPr>
      <w:r>
        <w:t xml:space="preserve">Chapter 2: OS Deployment </w:t>
      </w:r>
      <w:bookmarkEnd w:id="39"/>
    </w:p>
    <w:p>
      <w:pPr>
        <w:pStyle w:val="Para 25"/>
      </w:pPr>
      <w:r>
        <w:t/>
      </w:r>
    </w:p>
    <w:p>
      <w:pPr>
        <w:pStyle w:val="Normal"/>
      </w:pPr>
      <w:r>
        <w:t xml:space="preserve">In the last chapter, we touched on each of the primary areas of desktop administration. In the </w:t>
      </w:r>
    </w:p>
    <w:p>
      <w:pPr>
        <w:pStyle w:val="Normal"/>
      </w:pPr>
      <w:r>
        <w:t xml:space="preserve">remaining chapters, we will drill down into each of these topics in much more detail. This </w:t>
      </w:r>
    </w:p>
    <w:p>
      <w:pPr>
        <w:pStyle w:val="0 Block"/>
      </w:pPr>
    </w:p>
    <w:p>
      <w:bookmarkStart w:id="40" w:name="chapter_covers_the_first_of_thes"/>
      <w:pPr>
        <w:pStyle w:val="Para 35"/>
        <w:pageBreakBefore w:val="on"/>
      </w:pPr>
      <w:r>
        <w:t xml:space="preserve">chapter covers the first of these subjects, operating system (OS) deployment. The deployment of new systems is the foundation on which the stability of the workstation will be set, no matter </w:t>
      </w:r>
      <w:bookmarkEnd w:id="40"/>
    </w:p>
    <w:p>
      <w:pPr>
        <w:pStyle w:val="Normal"/>
      </w:pPr>
      <w:r>
        <w:t xml:space="preserve">what the makeup of that new system—a new computer, a new version of Windows, or simply a </w:t>
      </w:r>
    </w:p>
    <w:p>
      <w:pPr>
        <w:pStyle w:val="Normal"/>
      </w:pPr>
      <w:r>
        <w:t xml:space="preserve">new configuration. A poorly built image, a bad script, or poorly researched configuration options </w:t>
      </w:r>
    </w:p>
    <w:p>
      <w:pPr>
        <w:pStyle w:val="Normal"/>
      </w:pPr>
      <w:r>
        <w:t xml:space="preserve">can result in wide-scale problems when you consider that all of your systems might reflect these same troubles. In this chapter, we will discuss some best practices and methods for handling the </w:t>
      </w:r>
    </w:p>
    <w:p>
      <w:pPr>
        <w:pStyle w:val="Normal"/>
      </w:pPr>
      <w:r>
        <w:t xml:space="preserve">deployment of new systems, including the benefits and drawbacks of each. </w:t>
      </w:r>
    </w:p>
    <w:p>
      <w:pPr>
        <w:pStyle w:val="Para 25"/>
      </w:pPr>
      <w:r>
        <w:t/>
      </w:r>
    </w:p>
    <w:p>
      <w:pPr>
        <w:pStyle w:val="Para 12"/>
      </w:pPr>
      <w:r>
        <w:t xml:space="preserve">The Workstation Baseline </w:t>
      </w:r>
    </w:p>
    <w:p>
      <w:pPr>
        <w:pStyle w:val="Para 25"/>
      </w:pPr>
      <w:r>
        <w:t/>
      </w:r>
    </w:p>
    <w:p>
      <w:pPr>
        <w:pStyle w:val="Normal"/>
      </w:pPr>
      <w:r>
        <w:t xml:space="preserve">A baseline is an established, common starting point from which all workstations begin. </w:t>
      </w:r>
    </w:p>
    <w:p>
      <w:pPr>
        <w:pStyle w:val="Normal"/>
      </w:pPr>
      <w:r>
        <w:t xml:space="preserve">Regardless of whether you have a manual or automated process in place, there is normally some process that defines the makeup of your initial workstation installation and configuration. The </w:t>
      </w:r>
    </w:p>
    <w:p>
      <w:pPr>
        <w:pStyle w:val="Normal"/>
      </w:pPr>
      <w:r>
        <w:t xml:space="preserve">typical makeup of a workstation baseline is the OS and applications common to all systems. </w:t>
      </w:r>
    </w:p>
    <w:p>
      <w:pPr>
        <w:pStyle w:val="Normal"/>
      </w:pPr>
      <w:r>
        <w:t xml:space="preserve">From this point, things might change considerably, with each department (or even individual workstation) getting the additional software packages required for those users to accomplish their </w:t>
      </w:r>
    </w:p>
    <w:p>
      <w:pPr>
        <w:pStyle w:val="Normal"/>
      </w:pPr>
      <w:r>
        <w:t xml:space="preserve">jobs. However, the installation of a consistent starting point, automated or not, is the most </w:t>
      </w:r>
    </w:p>
    <w:p>
      <w:pPr>
        <w:pStyle w:val="Normal"/>
      </w:pPr>
      <w:r>
        <w:t xml:space="preserve">common first step in the workstation life cycle. </w:t>
      </w:r>
    </w:p>
    <w:p>
      <w:pPr>
        <w:pStyle w:val="Para 25"/>
      </w:pPr>
      <w:r>
        <w:t/>
      </w:r>
    </w:p>
    <w:p>
      <w:pPr>
        <w:pStyle w:val="Para 07"/>
      </w:pPr>
      <w:r>
        <w:t xml:space="preserve">Benefits </w:t>
      </w:r>
    </w:p>
    <w:p>
      <w:pPr>
        <w:pStyle w:val="Normal"/>
      </w:pPr>
      <w:r>
        <w:t xml:space="preserve">Planning and discussing the many options that make up the installation of Windows and its common software is an important step in establishing a common baseline. With planning, a </w:t>
      </w:r>
    </w:p>
    <w:p>
      <w:pPr>
        <w:pStyle w:val="Normal"/>
      </w:pPr>
      <w:r>
        <w:t xml:space="preserve">baseline allows for a reliable and consistent starting point, which brings the following benefits: </w:t>
      </w:r>
    </w:p>
    <w:p>
      <w:pPr>
        <w:pStyle w:val="Normal"/>
      </w:pPr>
      <w:r>
        <w:t xml:space="preserve">increased reliability, faster deployments, and easier troubleshooting. </w:t>
      </w:r>
    </w:p>
    <w:p>
      <w:pPr>
        <w:pStyle w:val="Para 25"/>
      </w:pPr>
      <w:r>
        <w:t/>
      </w:r>
    </w:p>
    <w:p>
      <w:pPr>
        <w:pStyle w:val="Para 09"/>
      </w:pPr>
      <w:r>
        <w:t xml:space="preserve">Increased Reliability </w:t>
      </w:r>
    </w:p>
    <w:p>
      <w:pPr>
        <w:pStyle w:val="Para 25"/>
      </w:pPr>
      <w:r>
        <w:t/>
      </w:r>
    </w:p>
    <w:p>
      <w:pPr>
        <w:pStyle w:val="Normal"/>
      </w:pPr>
      <w:r>
        <w:t xml:space="preserve">Through the consistency that comes with the implementation of a baseline configuration, you can </w:t>
      </w:r>
    </w:p>
    <w:p>
      <w:pPr>
        <w:pStyle w:val="Normal"/>
      </w:pPr>
      <w:r>
        <w:t xml:space="preserve">establish a firm starting point for all workstations. When all systems start from this proven and tested configuration, there is a decreased likelihood of problems that result from </w:t>
      </w:r>
    </w:p>
    <w:p>
      <w:pPr>
        <w:pStyle w:val="Normal"/>
      </w:pPr>
      <w:r>
        <w:t xml:space="preserve">misconfiguration of the system. A well thought out and documented baseline configuration can </w:t>
      </w:r>
    </w:p>
    <w:p>
      <w:pPr>
        <w:pStyle w:val="Normal"/>
      </w:pPr>
      <w:r>
        <w:t xml:space="preserve">be directly attributed to a lower number of support calls (and therefore decreased user </w:t>
      </w:r>
    </w:p>
    <w:p>
      <w:pPr>
        <w:pStyle w:val="Normal"/>
      </w:pPr>
      <w:r>
        <w:t xml:space="preserve">downtime.) </w:t>
      </w:r>
    </w:p>
    <w:p>
      <w:pPr>
        <w:pStyle w:val="Para 25"/>
      </w:pPr>
      <w:r>
        <w:t/>
      </w:r>
    </w:p>
    <w:p>
      <w:pPr>
        <w:pStyle w:val="Para 09"/>
      </w:pPr>
      <w:r>
        <w:t xml:space="preserve">Increased Deployment Speed </w:t>
      </w:r>
    </w:p>
    <w:p>
      <w:pPr>
        <w:pStyle w:val="Para 25"/>
      </w:pPr>
      <w:r>
        <w:t/>
      </w:r>
    </w:p>
    <w:p>
      <w:pPr>
        <w:pStyle w:val="Normal"/>
      </w:pPr>
      <w:r>
        <w:t xml:space="preserve">The amount of time and effort needed to get a workstation to a desired state is greatly reduced </w:t>
      </w:r>
    </w:p>
    <w:p>
      <w:pPr>
        <w:pStyle w:val="Normal"/>
      </w:pPr>
      <w:r>
        <w:t xml:space="preserve">through the implementation of a workstation baseline configuration. Whether the changes that follow are automated or manual, a repeatable proven process of getting the workstation to a </w:t>
      </w:r>
    </w:p>
    <w:p>
      <w:pPr>
        <w:pStyle w:val="Normal"/>
      </w:pPr>
      <w:r>
        <w:t xml:space="preserve">baseline state will reduce overall setup time. In a case in which a duplicated or imaged hard drive </w:t>
      </w:r>
    </w:p>
    <w:p>
      <w:pPr>
        <w:pStyle w:val="Normal"/>
      </w:pPr>
      <w:r>
        <w:t xml:space="preserve">is being used in the deployment process, this benefit is more obvious. However, even in cases in which the deployment process is merely a detailed check list, administrators will naturally </w:t>
      </w:r>
    </w:p>
    <w:p>
      <w:pPr>
        <w:pStyle w:val="Normal"/>
      </w:pPr>
      <w:r>
        <w:t xml:space="preserve">become proficient in handling this baseline portion of the setup process.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76" name="index-37_1.png" descr="index-37_1.png"/>
            <wp:cNvGraphicFramePr>
              <a:graphicFrameLocks noChangeAspect="1"/>
            </wp:cNvGraphicFramePr>
            <a:graphic>
              <a:graphicData uri="http://schemas.openxmlformats.org/drawingml/2006/picture">
                <pic:pic>
                  <pic:nvPicPr>
                    <pic:cNvPr id="0" name="index-37_1.png" descr="index-37_1.png"/>
                    <pic:cNvPicPr/>
                  </pic:nvPicPr>
                  <pic:blipFill>
                    <a:blip r:embed="rId8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77" name="index-37_2.png" descr="index-37_2.png"/>
            <wp:cNvGraphicFramePr>
              <a:graphicFrameLocks noChangeAspect="1"/>
            </wp:cNvGraphicFramePr>
            <a:graphic>
              <a:graphicData uri="http://schemas.openxmlformats.org/drawingml/2006/picture">
                <pic:pic>
                  <pic:nvPicPr>
                    <pic:cNvPr id="0" name="index-37_2.png" descr="index-37_2.png"/>
                    <pic:cNvPicPr/>
                  </pic:nvPicPr>
                  <pic:blipFill>
                    <a:blip r:embed="rId81"/>
                    <a:stretch>
                      <a:fillRect/>
                    </a:stretch>
                  </pic:blipFill>
                  <pic:spPr>
                    <a:xfrm>
                      <a:off x="0" y="0"/>
                      <a:ext cx="914400" cy="444500"/>
                    </a:xfrm>
                    <a:prstGeom prst="rect">
                      <a:avLst/>
                    </a:prstGeom>
                  </pic:spPr>
                </pic:pic>
              </a:graphicData>
            </a:graphic>
          </wp:anchor>
        </w:drawing>
      </w:r>
    </w:p>
    <w:p>
      <w:pPr>
        <w:pStyle w:val="0 Block"/>
      </w:pPr>
    </w:p>
    <w:p>
      <w:bookmarkStart w:id="41" w:name="Chapter_2_1"/>
      <w:pPr>
        <w:pStyle w:val="Heading 1"/>
        <w:pageBreakBefore w:val="on"/>
      </w:pPr>
      <w:r>
        <w:t>Chapter 2</w:t>
      </w:r>
      <w:bookmarkEnd w:id="41"/>
    </w:p>
    <w:p>
      <w:pPr>
        <w:pStyle w:val="Para 25"/>
      </w:pPr>
      <w:r>
        <w:t/>
      </w:r>
    </w:p>
    <w:p>
      <w:pPr>
        <w:pStyle w:val="Para 09"/>
      </w:pPr>
      <w:r>
        <w:t xml:space="preserve">Ease of Troubleshooting </w:t>
      </w:r>
    </w:p>
    <w:p>
      <w:pPr>
        <w:pStyle w:val="Para 25"/>
      </w:pPr>
      <w:r>
        <w:t/>
      </w:r>
    </w:p>
    <w:p>
      <w:pPr>
        <w:pStyle w:val="Normal"/>
      </w:pPr>
      <w:r>
        <w:t xml:space="preserve">Reproducibility is a key factor in the ability to troubleshoot and solve any computer-related </w:t>
      </w:r>
    </w:p>
    <w:p>
      <w:pPr>
        <w:pStyle w:val="Normal"/>
      </w:pPr>
      <w:r>
        <w:t xml:space="preserve">problem. Being able to mimic a problem in a lab environment is often crucial to identifying and testing potential solutions. With a baseline implementation in place, you can more easily </w:t>
      </w:r>
    </w:p>
    <w:p>
      <w:pPr>
        <w:pStyle w:val="Normal"/>
      </w:pPr>
      <w:r>
        <w:t xml:space="preserve">troubleshoot problems; you simply apply the baseline installation and add the same delta of </w:t>
      </w:r>
    </w:p>
    <w:p>
      <w:pPr>
        <w:pStyle w:val="Normal"/>
      </w:pPr>
      <w:r>
        <w:t xml:space="preserve">additional software packages, and you have a good chance of reproducing a user’s problem. Additionally, solutions to problems might be more commonly applied to all workstations. If a </w:t>
      </w:r>
    </w:p>
    <w:p>
      <w:pPr>
        <w:pStyle w:val="Normal"/>
      </w:pPr>
      <w:r>
        <w:t xml:space="preserve">problem on one machine is discovered, it is likely the same resolution will apply to other systems </w:t>
      </w:r>
    </w:p>
    <w:p>
      <w:pPr>
        <w:pStyle w:val="Normal"/>
      </w:pPr>
      <w:r>
        <w:t xml:space="preserve">as well. </w:t>
      </w:r>
    </w:p>
    <w:p>
      <w:pPr>
        <w:pStyle w:val="Para 25"/>
      </w:pPr>
      <w:r>
        <w:t/>
      </w:r>
    </w:p>
    <w:p>
      <w:pPr>
        <w:pStyle w:val="Para 07"/>
      </w:pPr>
      <w:r>
        <w:t xml:space="preserve">Drawbacks </w:t>
      </w:r>
    </w:p>
    <w:p>
      <w:pPr>
        <w:pStyle w:val="Normal"/>
      </w:pPr>
      <w:r>
        <w:t xml:space="preserve">To be fair, we will also explore the other cons. As with any solution, even the use of a baseline can have negative aspects in certain situations. For example, a problem for one is a problem for </w:t>
      </w:r>
    </w:p>
    <w:p>
      <w:pPr>
        <w:pStyle w:val="Normal"/>
      </w:pPr>
      <w:r>
        <w:t xml:space="preserve">all. If you don’t get the baseline correct, you risk a problem on all machines. It is for this reason </w:t>
      </w:r>
    </w:p>
    <w:p>
      <w:pPr>
        <w:pStyle w:val="Normal"/>
      </w:pPr>
      <w:r>
        <w:t xml:space="preserve">that extensive testing is a necessity in the implementation of a baseline by any means (automated </w:t>
      </w:r>
    </w:p>
    <w:p>
      <w:pPr>
        <w:pStyle w:val="Normal"/>
      </w:pPr>
      <w:r>
        <w:t xml:space="preserve">or manual). </w:t>
      </w:r>
    </w:p>
    <w:p>
      <w:pPr>
        <w:pStyle w:val="Para 25"/>
      </w:pPr>
      <w:r>
        <w:t/>
      </w:r>
    </w:p>
    <w:p>
      <w:pPr>
        <w:pStyle w:val="Normal"/>
      </w:pPr>
      <w:r>
        <w:t xml:space="preserve">In addition, manual repetition can be a problem. When the process of establishing a baseline </w:t>
      </w:r>
    </w:p>
    <w:p>
      <w:pPr>
        <w:pStyle w:val="Normal"/>
      </w:pPr>
      <w:r>
        <w:t xml:space="preserve">configuration is not automated, repetition can lead to carelessness. A check list is your best </w:t>
      </w:r>
    </w:p>
    <w:p>
      <w:pPr>
        <w:pStyle w:val="Normal"/>
      </w:pPr>
      <w:r>
        <w:t xml:space="preserve">defense against manual misconfigured systems, but an administrator can still grow to feel they have memorized the process and ignore the check list. Forcing administrators to turn in such a </w:t>
      </w:r>
    </w:p>
    <w:p>
      <w:pPr>
        <w:pStyle w:val="Normal"/>
      </w:pPr>
      <w:r>
        <w:t xml:space="preserve">check list as a deliverable document as part of the deployment process can result in </w:t>
      </w:r>
    </w:p>
    <w:p>
      <w:pPr>
        <w:pStyle w:val="Normal"/>
      </w:pPr>
      <w:r>
        <w:t xml:space="preserve">administrators checking off items blindly simply to produce the required paperwork. Automating the development of your baseline through scripts or a combination of a manual check lists and </w:t>
      </w:r>
    </w:p>
    <w:p>
      <w:pPr>
        <w:pStyle w:val="Normal"/>
      </w:pPr>
      <w:r>
        <w:t xml:space="preserve">execution of scripts will also help to ensure consistency in establishing your baseline. </w:t>
      </w:r>
    </w:p>
    <w:p>
      <w:pPr>
        <w:pStyle w:val="Para 25"/>
      </w:pPr>
      <w:r>
        <w:t/>
      </w:r>
    </w:p>
    <w:p>
      <w:pPr>
        <w:pStyle w:val="Para 07"/>
      </w:pPr>
      <w:r>
        <w:t xml:space="preserve">Baseline Components </w:t>
      </w:r>
    </w:p>
    <w:p>
      <w:pPr>
        <w:pStyle w:val="Normal"/>
      </w:pPr>
      <w:r>
        <w:t xml:space="preserve">Planning what should be included in your baseline is obviously a very important step in the </w:t>
      </w:r>
    </w:p>
    <w:p>
      <w:pPr>
        <w:pStyle w:val="Normal"/>
      </w:pPr>
      <w:r>
        <w:t xml:space="preserve">process. However, deciding which items to leave in the installation and which not to include is not always an obvious decision. </w:t>
      </w:r>
    </w:p>
    <w:p>
      <w:pPr>
        <w:pStyle w:val="Para 25"/>
      </w:pPr>
      <w:r>
        <w:t/>
      </w:r>
    </w:p>
    <w:p>
      <w:pPr>
        <w:pStyle w:val="Normal"/>
      </w:pPr>
      <w:r>
        <w:t xml:space="preserve">Table 2.1 shows a simplistic view of what might make up the software requirements for the </w:t>
      </w:r>
    </w:p>
    <w:p>
      <w:pPr>
        <w:pStyle w:val="Normal"/>
      </w:pPr>
      <w:r>
        <w:t xml:space="preserve">development, engineering, and graphic art departments at your organization. The baseline configuration to be established here would be all but the last application in each list. Based on </w:t>
      </w:r>
    </w:p>
    <w:p>
      <w:pPr>
        <w:pStyle w:val="Normal"/>
      </w:pPr>
      <w:r>
        <w:t xml:space="preserve">this planning document, you might enjoy the benefits of a baseline for these common </w:t>
      </w:r>
    </w:p>
    <w:p>
      <w:pPr>
        <w:pStyle w:val="Normal"/>
      </w:pPr>
      <w:r>
        <w:t xml:space="preserve">components and use your application deployment method of choice to add the necessary delta in </w:t>
      </w:r>
    </w:p>
    <w:p>
      <w:pPr>
        <w:pStyle w:val="Normal"/>
      </w:pPr>
      <w:r>
        <w:t xml:space="preserve">order to satisfy the requirements of each user or group of users. </w:t>
      </w:r>
    </w:p>
    <w:p>
      <w:pPr>
        <w:pStyle w:val="Para 25"/>
      </w:pPr>
      <w:r>
        <w:t/>
      </w:r>
    </w:p>
    <w:p>
      <w:pPr>
        <w:pStyle w:val="Para 18"/>
      </w:pPr>
      <w:r>
        <w:t xml:space="preserve">Developers Engineers Graphic </w:t>
        <w:t xml:space="preserve">Artists </w:t>
      </w:r>
    </w:p>
    <w:p>
      <w:pPr>
        <w:pStyle w:val="Para 03"/>
      </w:pPr>
      <w:r>
        <w:t xml:space="preserve">Microsoft Win2K </w:t>
      </w:r>
      <w:r>
        <w:rPr>
          <w:rStyle w:val="Text2"/>
        </w:rPr>
        <w:t xml:space="preserve"> </w:t>
      </w:r>
      <w:r>
        <w:t xml:space="preserve">Microsoft Win2K </w:t>
      </w:r>
      <w:r>
        <w:rPr>
          <w:rStyle w:val="Text2"/>
        </w:rPr>
        <w:t xml:space="preserve"> </w:t>
      </w:r>
      <w:r>
        <w:t xml:space="preserve">Microsoft Win2K </w:t>
      </w:r>
    </w:p>
    <w:p>
      <w:pPr>
        <w:pStyle w:val="Para 03"/>
      </w:pPr>
      <w:r>
        <w:t xml:space="preserve">Microsoft Internet Explorer 7 </w:t>
      </w:r>
      <w:r>
        <w:rPr>
          <w:rStyle w:val="Text2"/>
        </w:rPr>
        <w:t xml:space="preserve"> </w:t>
      </w:r>
      <w:r>
        <w:t xml:space="preserve">Microsoft Internet Explorer 7 </w:t>
      </w:r>
      <w:r>
        <w:rPr>
          <w:rStyle w:val="Text2"/>
        </w:rPr>
        <w:t xml:space="preserve"> </w:t>
      </w:r>
      <w:r>
        <w:t xml:space="preserve">Microsoft Internet Explorer 7 </w:t>
      </w:r>
    </w:p>
    <w:p>
      <w:pPr>
        <w:pStyle w:val="Para 03"/>
      </w:pPr>
      <w:r>
        <w:t xml:space="preserve">Microsoft Office XP </w:t>
      </w:r>
      <w:r>
        <w:rPr>
          <w:rStyle w:val="Text2"/>
        </w:rPr>
        <w:t xml:space="preserve"> </w:t>
      </w:r>
      <w:r>
        <w:t xml:space="preserve">Microsoft Office XP </w:t>
      </w:r>
      <w:r>
        <w:rPr>
          <w:rStyle w:val="Text2"/>
        </w:rPr>
        <w:t xml:space="preserve"> </w:t>
      </w:r>
      <w:r>
        <w:t xml:space="preserve">Microsoft Office XP </w:t>
      </w:r>
    </w:p>
    <w:p>
      <w:pPr>
        <w:pStyle w:val="Para 03"/>
      </w:pPr>
      <w:r>
        <w:t xml:space="preserve">Adobe Acrobat Reader </w:t>
      </w:r>
      <w:r>
        <w:rPr>
          <w:rStyle w:val="Text2"/>
        </w:rPr>
        <w:t xml:space="preserve"> </w:t>
      </w:r>
      <w:r>
        <w:t xml:space="preserve">Adobe Acrobat Reader </w:t>
      </w:r>
      <w:r>
        <w:rPr>
          <w:rStyle w:val="Text2"/>
        </w:rPr>
        <w:t xml:space="preserve"> </w:t>
      </w:r>
      <w:r>
        <w:t xml:space="preserve">Adobe Acrobat Reader </w:t>
      </w:r>
    </w:p>
    <w:p>
      <w:pPr>
        <w:pStyle w:val="Para 18"/>
      </w:pPr>
      <w:r>
        <w:t xml:space="preserve">Virtual Studio .NET </w:t>
      </w:r>
      <w:r>
        <w:rPr>
          <w:rStyle w:val="Text5"/>
        </w:rPr>
        <w:t xml:space="preserve"> </w:t>
      </w:r>
      <w:r>
        <w:t xml:space="preserve">Visio Technical Edition </w:t>
      </w:r>
      <w:r>
        <w:rPr>
          <w:rStyle w:val="Text5"/>
        </w:rPr>
        <w:t xml:space="preserve"> </w:t>
      </w:r>
      <w:r>
        <w:t xml:space="preserve">Adobe Photoshop 7 </w:t>
      </w:r>
    </w:p>
    <w:p>
      <w:pPr>
        <w:pStyle w:val="Para 25"/>
      </w:pPr>
      <w:r>
        <w:t/>
      </w:r>
    </w:p>
    <w:p>
      <w:pPr>
        <w:pStyle w:val="Para 10"/>
      </w:pPr>
      <w:r>
        <w:t xml:space="preserve">Table 2.1: A sample baseline software makeup.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78" name="index-38_1.png" descr="index-38_1.png"/>
            <wp:cNvGraphicFramePr>
              <a:graphicFrameLocks noChangeAspect="1"/>
            </wp:cNvGraphicFramePr>
            <a:graphic>
              <a:graphicData uri="http://schemas.openxmlformats.org/drawingml/2006/picture">
                <pic:pic>
                  <pic:nvPicPr>
                    <pic:cNvPr id="0" name="index-38_1.png" descr="index-38_1.png"/>
                    <pic:cNvPicPr/>
                  </pic:nvPicPr>
                  <pic:blipFill>
                    <a:blip r:embed="rId8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79" name="index-38_2.png" descr="index-38_2.png"/>
            <wp:cNvGraphicFramePr>
              <a:graphicFrameLocks noChangeAspect="1"/>
            </wp:cNvGraphicFramePr>
            <a:graphic>
              <a:graphicData uri="http://schemas.openxmlformats.org/drawingml/2006/picture">
                <pic:pic>
                  <pic:nvPicPr>
                    <pic:cNvPr id="0" name="index-38_2.png" descr="index-38_2.png"/>
                    <pic:cNvPicPr/>
                  </pic:nvPicPr>
                  <pic:blipFill>
                    <a:blip r:embed="rId83"/>
                    <a:stretch>
                      <a:fillRect/>
                    </a:stretch>
                  </pic:blipFill>
                  <pic:spPr>
                    <a:xfrm>
                      <a:off x="0" y="0"/>
                      <a:ext cx="914400" cy="444500"/>
                    </a:xfrm>
                    <a:prstGeom prst="rect">
                      <a:avLst/>
                    </a:prstGeom>
                  </pic:spPr>
                </pic:pic>
              </a:graphicData>
            </a:graphic>
          </wp:anchor>
        </w:drawing>
      </w:r>
    </w:p>
    <w:p>
      <w:pPr>
        <w:pStyle w:val="0 Block"/>
      </w:pPr>
    </w:p>
    <w:p>
      <w:bookmarkStart w:id="42" w:name="Chapter_2_2"/>
      <w:pPr>
        <w:pStyle w:val="Heading 1"/>
        <w:pageBreakBefore w:val="on"/>
      </w:pPr>
      <w:r>
        <w:t>Chapter 2</w:t>
      </w:r>
      <w:bookmarkEnd w:id="42"/>
    </w:p>
    <w:p>
      <w:pPr>
        <w:pStyle w:val="Para 25"/>
      </w:pPr>
      <w:r>
        <w:t/>
      </w:r>
    </w:p>
    <w:p>
      <w:pPr>
        <w:pStyle w:val="Para 09"/>
      </w:pPr>
      <w:r>
        <w:t xml:space="preserve">What to Leave In </w:t>
      </w:r>
    </w:p>
    <w:p>
      <w:pPr>
        <w:pStyle w:val="Para 25"/>
      </w:pPr>
      <w:r>
        <w:t/>
      </w:r>
    </w:p>
    <w:p>
      <w:pPr>
        <w:pStyle w:val="Normal"/>
      </w:pPr>
      <w:r>
        <w:t xml:space="preserve">You can avoid having to deploy and configure multiple instances of the software that is going to </w:t>
      </w:r>
    </w:p>
    <w:p>
      <w:pPr>
        <w:pStyle w:val="Normal"/>
      </w:pPr>
      <w:r>
        <w:t xml:space="preserve">everyone (and therefore avoid the inherent risks that come with that process) by simply including the software in a baseline image or unattended scripting process. Even if your deployment </w:t>
      </w:r>
    </w:p>
    <w:p>
      <w:pPr>
        <w:pStyle w:val="Normal"/>
      </w:pPr>
      <w:r>
        <w:t xml:space="preserve">process is entirely manual, you should still plan to create a baseline that includes all common </w:t>
      </w:r>
    </w:p>
    <w:p>
      <w:pPr>
        <w:pStyle w:val="Normal"/>
      </w:pPr>
      <w:r>
        <w:t xml:space="preserve">software to avoid the need to return to workstations more than once. </w:t>
      </w:r>
    </w:p>
    <w:p>
      <w:pPr>
        <w:pStyle w:val="Para 25"/>
      </w:pPr>
      <w:r>
        <w:t/>
      </w:r>
    </w:p>
    <w:p>
      <w:pPr>
        <w:pStyle w:val="Para 09"/>
      </w:pPr>
      <w:r>
        <w:t xml:space="preserve">What to Leave Out </w:t>
      </w:r>
    </w:p>
    <w:p>
      <w:pPr>
        <w:pStyle w:val="Para 25"/>
      </w:pPr>
      <w:r>
        <w:t/>
      </w:r>
    </w:p>
    <w:p>
      <w:pPr>
        <w:pStyle w:val="Normal"/>
      </w:pPr>
      <w:r>
        <w:t xml:space="preserve">Due to the popularity of drive imaging or cloning software, many client/server applications that </w:t>
      </w:r>
    </w:p>
    <w:p>
      <w:pPr>
        <w:pStyle w:val="Normal"/>
      </w:pPr>
      <w:r>
        <w:t xml:space="preserve">have their own management consoles will provide specific recommendations regarding how they </w:t>
      </w:r>
    </w:p>
    <w:p>
      <w:pPr>
        <w:pStyle w:val="Normal"/>
      </w:pPr>
      <w:r>
        <w:t xml:space="preserve">should be handled. These applications might not easily lend themselves to inclusion in a system baseline image or script, and you should handle them via the provided management console. Pay </w:t>
      </w:r>
    </w:p>
    <w:p>
      <w:pPr>
        <w:pStyle w:val="Normal"/>
      </w:pPr>
      <w:r>
        <w:t xml:space="preserve">special attention to software with client agents or services such as antivirus software and desktop </w:t>
      </w:r>
    </w:p>
    <w:p>
      <w:pPr>
        <w:pStyle w:val="Normal"/>
      </w:pPr>
      <w:r>
        <w:t xml:space="preserve">management tools. </w:t>
      </w:r>
    </w:p>
    <w:p>
      <w:pPr>
        <w:pStyle w:val="Para 25"/>
      </w:pPr>
      <w:r>
        <w:t/>
      </w:r>
    </w:p>
    <w:p>
      <w:pPr>
        <w:pStyle w:val="Para 07"/>
      </w:pPr>
      <w:r>
        <w:t xml:space="preserve">Common Pitfalls to Avoid </w:t>
      </w:r>
    </w:p>
    <w:p>
      <w:pPr>
        <w:pStyle w:val="Normal"/>
      </w:pPr>
      <w:r>
        <w:t xml:space="preserve">As desktop administration becomes more and more transparent to the end user, its complexity can increase for you, the administrator. As a result, there are a growing number of pitfalls to </w:t>
      </w:r>
    </w:p>
    <w:p>
      <w:pPr>
        <w:pStyle w:val="Normal"/>
      </w:pPr>
      <w:r>
        <w:t xml:space="preserve">watch out for. We will cover some of these issues in this section. </w:t>
      </w:r>
    </w:p>
    <w:p>
      <w:pPr>
        <w:pStyle w:val="Para 25"/>
      </w:pPr>
      <w:r>
        <w:t/>
      </w:r>
    </w:p>
    <w:p>
      <w:pPr>
        <w:pStyle w:val="Para 09"/>
      </w:pPr>
      <w:r>
        <w:t xml:space="preserve">MSI Source Resiliency </w:t>
      </w:r>
    </w:p>
    <w:p>
      <w:pPr>
        <w:pStyle w:val="Para 25"/>
      </w:pPr>
      <w:r>
        <w:t/>
      </w:r>
    </w:p>
    <w:p>
      <w:pPr>
        <w:pStyle w:val="Normal"/>
      </w:pPr>
      <w:r>
        <w:t>Windows Installer (MSI) introduces a new element to consider as a desktop administrator—</w:t>
      </w:r>
    </w:p>
    <w:p>
      <w:pPr>
        <w:pStyle w:val="Normal"/>
      </w:pPr>
      <w:r>
        <w:t xml:space="preserve">installation source availability. When software is installed, Windows Installer will check its </w:t>
      </w:r>
    </w:p>
    <w:p>
      <w:pPr>
        <w:pStyle w:val="Normal"/>
      </w:pPr>
      <w:r>
        <w:t xml:space="preserve">installation location for installation files if and when they are needed in the future. If a new feature needs to be installed or if missing files need to be reinstalled, Windows Installer will look </w:t>
      </w:r>
    </w:p>
    <w:p>
      <w:pPr>
        <w:pStyle w:val="Normal"/>
      </w:pPr>
      <w:r>
        <w:t xml:space="preserve">to the software’s installation source to obtain these files. Thus, when creating images and </w:t>
      </w:r>
    </w:p>
    <w:p>
      <w:pPr>
        <w:pStyle w:val="Normal"/>
      </w:pPr>
      <w:r>
        <w:t xml:space="preserve">duplicate drives, be sure that the location where Windows Installer will look is available. </w:t>
      </w:r>
    </w:p>
    <w:p>
      <w:pPr>
        <w:pStyle w:val="Para 25"/>
      </w:pPr>
      <w:r>
        <w:t/>
      </w:r>
    </w:p>
    <w:p>
      <w:pPr>
        <w:pStyle w:val="Para 02"/>
      </w:pPr>
      <w:r>
        <w:t xml:space="preserve">When installing MSI setups from a CD-ROM, mapped drive, or UNC path, you must consider that this </w:t>
      </w:r>
    </w:p>
    <w:p>
      <w:pPr>
        <w:pStyle w:val="Para 02"/>
      </w:pPr>
      <w:r>
        <w:t xml:space="preserve">path is the one that will be checked by Windows Installer. Do you want all systems looking to the </w:t>
      </w:r>
    </w:p>
    <w:p>
      <w:pPr>
        <w:pStyle w:val="Para 02"/>
      </w:pPr>
      <w:r>
        <w:t xml:space="preserve">same network share for source files? Did you install Microsoft Office from the CD-ROM when you </w:t>
      </w:r>
    </w:p>
    <w:p>
      <w:pPr>
        <w:pStyle w:val="Para 02"/>
      </w:pPr>
      <w:r>
        <w:t xml:space="preserve">built your image? Failure to plan for a resilient MSI source might result in user prompts for setup files </w:t>
      </w:r>
    </w:p>
    <w:p>
      <w:pPr>
        <w:pStyle w:val="Para 02"/>
      </w:pPr>
      <w:r>
        <w:t xml:space="preserve">that will likely result in an increase in support calls. </w:t>
      </w:r>
    </w:p>
    <w:p>
      <w:pPr>
        <w:pStyle w:val="Para 25"/>
      </w:pPr>
      <w:r>
        <w:t/>
      </w:r>
    </w:p>
    <w:p>
      <w:pPr>
        <w:pStyle w:val="Para 02"/>
      </w:pPr>
      <w:r>
        <w:t xml:space="preserve">For an overview of Windows Installer technology and recommendation for how to deal with issues </w:t>
      </w:r>
    </w:p>
    <w:p>
      <w:pPr>
        <w:pStyle w:val="Para 29"/>
      </w:pPr>
      <w:r>
        <w:rPr>
          <w:rStyle w:val="Text0"/>
        </w:rPr>
        <w:t xml:space="preserve">unique to Windows Installer, see </w:t>
      </w:r>
      <w:r>
        <w:t xml:space="preserve">The Definitive Guide to Windows Installer Technology for System </w:t>
      </w:r>
    </w:p>
    <w:p>
      <w:pPr>
        <w:pStyle w:val="Para 02"/>
      </w:pPr>
      <w:r>
        <w:rPr>
          <w:rStyle w:val="Text0"/>
        </w:rPr>
        <w:t>Administrators</w:t>
      </w:r>
      <w:r>
        <w:t xml:space="preserve"> by Darwin Sanoy and Jeremy Moskowitz available from a link at </w:t>
      </w:r>
    </w:p>
    <w:p>
      <w:pPr>
        <w:pStyle w:val="Para 02"/>
      </w:pPr>
      <w:r>
        <w:t xml:space="preserve">http://www.realtimepublishers.com.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80" name="index-39_1.png" descr="index-39_1.png"/>
            <wp:cNvGraphicFramePr>
              <a:graphicFrameLocks noChangeAspect="1"/>
            </wp:cNvGraphicFramePr>
            <a:graphic>
              <a:graphicData uri="http://schemas.openxmlformats.org/drawingml/2006/picture">
                <pic:pic>
                  <pic:nvPicPr>
                    <pic:cNvPr id="0" name="index-39_1.png" descr="index-39_1.png"/>
                    <pic:cNvPicPr/>
                  </pic:nvPicPr>
                  <pic:blipFill>
                    <a:blip r:embed="rId8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81" name="index-39_2.png" descr="index-39_2.png"/>
            <wp:cNvGraphicFramePr>
              <a:graphicFrameLocks noChangeAspect="1"/>
            </wp:cNvGraphicFramePr>
            <a:graphic>
              <a:graphicData uri="http://schemas.openxmlformats.org/drawingml/2006/picture">
                <pic:pic>
                  <pic:nvPicPr>
                    <pic:cNvPr id="0" name="index-39_2.png" descr="index-39_2.png"/>
                    <pic:cNvPicPr/>
                  </pic:nvPicPr>
                  <pic:blipFill>
                    <a:blip r:embed="rId85"/>
                    <a:stretch>
                      <a:fillRect/>
                    </a:stretch>
                  </pic:blipFill>
                  <pic:spPr>
                    <a:xfrm>
                      <a:off x="0" y="0"/>
                      <a:ext cx="914400" cy="444500"/>
                    </a:xfrm>
                    <a:prstGeom prst="rect">
                      <a:avLst/>
                    </a:prstGeom>
                  </pic:spPr>
                </pic:pic>
              </a:graphicData>
            </a:graphic>
          </wp:anchor>
        </w:drawing>
      </w:r>
    </w:p>
    <w:p>
      <w:pPr>
        <w:pStyle w:val="0 Block"/>
      </w:pPr>
    </w:p>
    <w:p>
      <w:bookmarkStart w:id="43" w:name="Chapter_2_3"/>
      <w:pPr>
        <w:pStyle w:val="Heading 1"/>
        <w:pageBreakBefore w:val="on"/>
      </w:pPr>
      <w:r>
        <w:t>Chapter 2</w:t>
      </w:r>
      <w:bookmarkEnd w:id="43"/>
    </w:p>
    <w:p>
      <w:pPr>
        <w:pStyle w:val="Para 25"/>
      </w:pPr>
      <w:r>
        <w:t/>
      </w:r>
    </w:p>
    <w:p>
      <w:pPr>
        <w:pStyle w:val="Para 09"/>
      </w:pPr>
      <w:r>
        <w:t xml:space="preserve">Non-Essential Data </w:t>
      </w:r>
    </w:p>
    <w:p>
      <w:pPr>
        <w:pStyle w:val="Para 25"/>
      </w:pPr>
      <w:r>
        <w:t/>
      </w:r>
    </w:p>
    <w:p>
      <w:pPr>
        <w:pStyle w:val="Normal"/>
      </w:pPr>
      <w:r>
        <w:t xml:space="preserve">Another pitfall to watch out for: Avoid inclusion of user- and machine-specific data in your </w:t>
      </w:r>
    </w:p>
    <w:p>
      <w:pPr>
        <w:pStyle w:val="Normal"/>
      </w:pPr>
      <w:r>
        <w:t xml:space="preserve">baseline. Although this issue is more of a challenge when you’re imaging or duplicating drives, be aware that your user profile might contain information that need not be deployed to all </w:t>
      </w:r>
    </w:p>
    <w:p>
      <w:pPr>
        <w:pStyle w:val="Normal"/>
      </w:pPr>
      <w:r>
        <w:t xml:space="preserve">systems. Take a good look around by searching the file system (pay special attention to profile </w:t>
      </w:r>
    </w:p>
    <w:p>
      <w:pPr>
        <w:pStyle w:val="Normal"/>
      </w:pPr>
      <w:r>
        <w:t xml:space="preserve">directories and temporary folders) and the Windows registry for your username. The Windows built-in search function, which Figure 2.1 shows, allows you to look for text within any file in </w:t>
      </w:r>
    </w:p>
    <w:p>
      <w:pPr>
        <w:pStyle w:val="Normal"/>
      </w:pPr>
      <w:r>
        <w:t xml:space="preserve">the specified path. By specifying all files on all drives and entering your username as the text to </w:t>
      </w:r>
    </w:p>
    <w:p>
      <w:pPr>
        <w:pStyle w:val="Normal"/>
      </w:pPr>
      <w:r>
        <w:t xml:space="preserve">search for, you might uncover some files that you do not want sitting on every new machine you </w:t>
      </w:r>
    </w:p>
    <w:p>
      <w:pPr>
        <w:pStyle w:val="Normal"/>
      </w:pPr>
      <w:r>
        <w:t xml:space="preserve">roll out. In some environments you might want to avoid including the company name or network name in the baseline image.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62300" cy="2552700"/>
            <wp:effectExtent l="0" r="0" t="0" b="0"/>
            <wp:wrapTopAndBottom/>
            <wp:docPr id="82" name="index-40_1.png" descr="index-40_1.png"/>
            <wp:cNvGraphicFramePr>
              <a:graphicFrameLocks noChangeAspect="1"/>
            </wp:cNvGraphicFramePr>
            <a:graphic>
              <a:graphicData uri="http://schemas.openxmlformats.org/drawingml/2006/picture">
                <pic:pic>
                  <pic:nvPicPr>
                    <pic:cNvPr id="0" name="index-40_1.png" descr="index-40_1.png"/>
                    <pic:cNvPicPr/>
                  </pic:nvPicPr>
                  <pic:blipFill>
                    <a:blip r:embed="rId86"/>
                    <a:stretch>
                      <a:fillRect/>
                    </a:stretch>
                  </pic:blipFill>
                  <pic:spPr>
                    <a:xfrm>
                      <a:off x="0" y="0"/>
                      <a:ext cx="3162300" cy="25527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2.1: Windows’ search view. </w:t>
      </w:r>
    </w:p>
    <w:p>
      <w:pPr>
        <w:pStyle w:val="Para 25"/>
      </w:pPr>
      <w:r>
        <w:t/>
      </w:r>
    </w:p>
    <w:p>
      <w:pPr>
        <w:pStyle w:val="Para 09"/>
      </w:pPr>
      <w:r>
        <w:t xml:space="preserve">Classified or Company Proprietary Information </w:t>
      </w:r>
    </w:p>
    <w:p>
      <w:pPr>
        <w:pStyle w:val="Para 25"/>
      </w:pPr>
      <w:r>
        <w:t/>
      </w:r>
    </w:p>
    <w:p>
      <w:pPr>
        <w:pStyle w:val="Normal"/>
      </w:pPr>
      <w:r>
        <w:t xml:space="preserve">Accidentally including classified or company proprietary information in your baseline might be </w:t>
      </w:r>
    </w:p>
    <w:p>
      <w:pPr>
        <w:pStyle w:val="Normal"/>
      </w:pPr>
      <w:r>
        <w:t xml:space="preserve">more than undesirable—doing so could get you in big trouble! If during the development of your </w:t>
      </w:r>
    </w:p>
    <w:p>
      <w:pPr>
        <w:pStyle w:val="Normal"/>
      </w:pPr>
      <w:r>
        <w:t xml:space="preserve">image you have opened or accessed classified or company proprietary information, remember to clean up temporary files and cached data before finalizing an image or even before walking away </w:t>
      </w:r>
    </w:p>
    <w:p>
      <w:pPr>
        <w:pStyle w:val="Normal"/>
      </w:pPr>
      <w:r>
        <w:t xml:space="preserve">from a manual setup. Though you might have application-specific areas to focus your search for </w:t>
      </w:r>
    </w:p>
    <w:p>
      <w:pPr>
        <w:pStyle w:val="Normal"/>
      </w:pPr>
      <w:r>
        <w:t xml:space="preserve">such information, a good start will be to empty the Recycle Bin, delete cached Internet files and temporary folders, and remove unnecessary profiles.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83" name="index-40_2.png" descr="index-40_2.png"/>
            <wp:cNvGraphicFramePr>
              <a:graphicFrameLocks noChangeAspect="1"/>
            </wp:cNvGraphicFramePr>
            <a:graphic>
              <a:graphicData uri="http://schemas.openxmlformats.org/drawingml/2006/picture">
                <pic:pic>
                  <pic:nvPicPr>
                    <pic:cNvPr id="0" name="index-40_2.png" descr="index-40_2.png"/>
                    <pic:cNvPicPr/>
                  </pic:nvPicPr>
                  <pic:blipFill>
                    <a:blip r:embed="rId8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84" name="index-40_3.png" descr="index-40_3.png"/>
            <wp:cNvGraphicFramePr>
              <a:graphicFrameLocks noChangeAspect="1"/>
            </wp:cNvGraphicFramePr>
            <a:graphic>
              <a:graphicData uri="http://schemas.openxmlformats.org/drawingml/2006/picture">
                <pic:pic>
                  <pic:nvPicPr>
                    <pic:cNvPr id="0" name="index-40_3.png" descr="index-40_3.png"/>
                    <pic:cNvPicPr/>
                  </pic:nvPicPr>
                  <pic:blipFill>
                    <a:blip r:embed="rId88"/>
                    <a:stretch>
                      <a:fillRect/>
                    </a:stretch>
                  </pic:blipFill>
                  <pic:spPr>
                    <a:xfrm>
                      <a:off x="0" y="0"/>
                      <a:ext cx="914400" cy="444500"/>
                    </a:xfrm>
                    <a:prstGeom prst="rect">
                      <a:avLst/>
                    </a:prstGeom>
                  </pic:spPr>
                </pic:pic>
              </a:graphicData>
            </a:graphic>
          </wp:anchor>
        </w:drawing>
      </w:r>
    </w:p>
    <w:p>
      <w:pPr>
        <w:pStyle w:val="0 Block"/>
      </w:pPr>
    </w:p>
    <w:p>
      <w:bookmarkStart w:id="44" w:name="Chapter_2_4"/>
      <w:pPr>
        <w:pStyle w:val="Heading 1"/>
        <w:pageBreakBefore w:val="on"/>
      </w:pPr>
      <w:r>
        <w:t>Chapter 2</w:t>
      </w:r>
      <w:bookmarkEnd w:id="44"/>
    </w:p>
    <w:p>
      <w:pPr>
        <w:pStyle w:val="Para 25"/>
      </w:pPr>
      <w:r>
        <w:t/>
      </w:r>
    </w:p>
    <w:p>
      <w:pPr>
        <w:pStyle w:val="Para 09"/>
      </w:pPr>
      <w:r>
        <w:t xml:space="preserve">Globally Unique Identifiers </w:t>
      </w:r>
    </w:p>
    <w:p>
      <w:pPr>
        <w:pStyle w:val="Para 25"/>
      </w:pPr>
      <w:r>
        <w:t/>
      </w:r>
    </w:p>
    <w:p>
      <w:pPr>
        <w:pStyle w:val="Normal"/>
      </w:pPr>
      <w:r>
        <w:t xml:space="preserve">Globally unique identifiers (GUIDs) are being used more and more these days. Be aware that if </w:t>
      </w:r>
    </w:p>
    <w:p>
      <w:pPr>
        <w:pStyle w:val="Normal"/>
      </w:pPr>
      <w:r>
        <w:t xml:space="preserve">you include them in your image, they will no longer be globally unique! Client/server applications (client agents or services that communicate with a server console or management </w:t>
      </w:r>
    </w:p>
    <w:p>
      <w:pPr>
        <w:pStyle w:val="Normal"/>
      </w:pPr>
      <w:r>
        <w:t xml:space="preserve">system) commonly use GUIDs to identify their client-side systems (such is particularly true for </w:t>
      </w:r>
    </w:p>
    <w:p>
      <w:pPr>
        <w:pStyle w:val="Normal"/>
      </w:pPr>
      <w:r>
        <w:t xml:space="preserve">antivirus and desktop management client software). These unique identifiers are often established during installation and might be used to uniquely identify their clients on the </w:t>
      </w:r>
    </w:p>
    <w:p>
      <w:pPr>
        <w:pStyle w:val="Normal"/>
      </w:pPr>
      <w:r>
        <w:t xml:space="preserve">network. Have a look at the documentation for any client/server software to ensure that GUIDs </w:t>
      </w:r>
    </w:p>
    <w:p>
      <w:pPr>
        <w:pStyle w:val="Normal"/>
      </w:pPr>
      <w:r>
        <w:t xml:space="preserve">will not be a problem for your baseline. </w:t>
      </w:r>
    </w:p>
    <w:p>
      <w:pPr>
        <w:pStyle w:val="Para 25"/>
      </w:pPr>
      <w:r>
        <w:t/>
      </w:r>
    </w:p>
    <w:p>
      <w:pPr>
        <w:pStyle w:val="Normal"/>
      </w:pPr>
      <w:r>
        <w:t xml:space="preserve">Including Microsoft’s SMS client in an image is another common way that a GUID might be inadvertently introduced. SMS assigns a GUID to a client system upon installation, and it is this </w:t>
      </w:r>
    </w:p>
    <w:p>
      <w:pPr>
        <w:pStyle w:val="Normal"/>
      </w:pPr>
      <w:r>
        <w:t xml:space="preserve">number that identifies the computer to SMS. This situation can cause a lot of problems for SMS </w:t>
      </w:r>
    </w:p>
    <w:p>
      <w:pPr>
        <w:pStyle w:val="Normal"/>
      </w:pPr>
      <w:r>
        <w:t xml:space="preserve">(software installing on the wrong computer, inventory information merged with other clients, and only the last computer to use the GUID will be listed in the management console). One way to </w:t>
      </w:r>
    </w:p>
    <w:p>
      <w:pPr>
        <w:pStyle w:val="Normal"/>
      </w:pPr>
      <w:r>
        <w:t xml:space="preserve">end up with the same GUID assigned to all clients is to include the following registry entry in </w:t>
      </w:r>
    </w:p>
    <w:p>
      <w:pPr>
        <w:pStyle w:val="Normal"/>
      </w:pPr>
      <w:r>
        <w:t xml:space="preserve">your image: </w:t>
      </w:r>
    </w:p>
    <w:p>
      <w:pPr>
        <w:pStyle w:val="Normal"/>
      </w:pPr>
      <w:r>
        <w:t xml:space="preserve">HKEY_LOCAL_MACHINE\SOFTWARE\Microsoft\SMS\Client\Configuration\Client </w:t>
      </w:r>
    </w:p>
    <w:p>
      <w:pPr>
        <w:pStyle w:val="Normal"/>
      </w:pPr>
      <w:r>
        <w:t xml:space="preserve">Properties\SMS Unique Identifier. In addition, there are two files in the Windows System </w:t>
      </w:r>
    </w:p>
    <w:p>
      <w:pPr>
        <w:pStyle w:val="Normal"/>
      </w:pPr>
      <w:r>
        <w:t xml:space="preserve">directory that can result in duplicate GUIDs: SMSuid.dat and SMScfg.ini. </w:t>
      </w:r>
    </w:p>
    <w:p>
      <w:pPr>
        <w:pStyle w:val="Para 25"/>
      </w:pPr>
      <w:r>
        <w:t/>
      </w:r>
    </w:p>
    <w:p>
      <w:pPr>
        <w:pStyle w:val="Normal"/>
      </w:pPr>
      <w:r>
        <w:t xml:space="preserve">The best way to avoid duplicate GUIDs with SMS is to not include the SMS client software in your baseline. SMS and most other client software agents provide their own method of </w:t>
      </w:r>
    </w:p>
    <w:p>
      <w:pPr>
        <w:pStyle w:val="Normal"/>
      </w:pPr>
      <w:r>
        <w:t xml:space="preserve">deployment. Alternatively, you can make use of whatever application deployment process you </w:t>
      </w:r>
    </w:p>
    <w:p>
      <w:pPr>
        <w:pStyle w:val="Normal"/>
      </w:pPr>
      <w:r>
        <w:t xml:space="preserve">have in place to install SMS as you would any other item that is not part of your baseline. This particular problem is only applicable to imaging and drive-duplication deployment methods. If </w:t>
      </w:r>
    </w:p>
    <w:p>
      <w:pPr>
        <w:pStyle w:val="Normal"/>
      </w:pPr>
      <w:r>
        <w:t xml:space="preserve">you’re using a manual or scripted process to roll out your baseline, you might be able to </w:t>
      </w:r>
    </w:p>
    <w:p>
      <w:pPr>
        <w:pStyle w:val="Normal"/>
      </w:pPr>
      <w:r>
        <w:t xml:space="preserve">automate the installation of the client software so that it might be installed (and generate its own GUID) as designed. </w:t>
      </w:r>
    </w:p>
    <w:p>
      <w:pPr>
        <w:pStyle w:val="Para 25"/>
      </w:pPr>
      <w:r>
        <w:t/>
      </w:r>
    </w:p>
    <w:p>
      <w:pPr>
        <w:pStyle w:val="Para 02"/>
      </w:pPr>
      <w:r>
        <w:t xml:space="preserve">Non-unique GUIDs are such a common problem that Microsoft provides newuid.exe, a tool to help </w:t>
      </w:r>
    </w:p>
    <w:p>
      <w:pPr>
        <w:pStyle w:val="Para 02"/>
      </w:pPr>
      <w:r>
        <w:t xml:space="preserve">remove duplicate GUIDs after they occur. You can read more about dealing with duplicate GUIDs in </w:t>
      </w:r>
    </w:p>
    <w:p>
      <w:pPr>
        <w:pStyle w:val="Para 02"/>
      </w:pPr>
      <w:r>
        <w:t xml:space="preserve">SMS in the Microsoft article “Managing Duplicate Microsoft Systems Management Server Unique </w:t>
      </w:r>
    </w:p>
    <w:p>
      <w:pPr>
        <w:pStyle w:val="Para 02"/>
      </w:pPr>
      <w:r>
        <w:t xml:space="preserve">Identifiers.” </w:t>
      </w:r>
    </w:p>
    <w:p>
      <w:pPr>
        <w:pStyle w:val="Para 25"/>
      </w:pPr>
      <w:r>
        <w:t/>
      </w:r>
    </w:p>
    <w:p>
      <w:pPr>
        <w:pStyle w:val="Para 09"/>
      </w:pPr>
      <w:r>
        <w:t xml:space="preserve">Profiles </w:t>
      </w:r>
    </w:p>
    <w:p>
      <w:pPr>
        <w:pStyle w:val="Para 25"/>
      </w:pPr>
      <w:r>
        <w:t/>
      </w:r>
    </w:p>
    <w:p>
      <w:pPr>
        <w:pStyle w:val="Normal"/>
      </w:pPr>
      <w:r>
        <w:t xml:space="preserve">In addition to the fact that leaving user profiles in your baseline takes up unnecessary space, </w:t>
      </w:r>
    </w:p>
    <w:p>
      <w:pPr>
        <w:pStyle w:val="Normal"/>
      </w:pPr>
      <w:r>
        <w:t xml:space="preserve">failing to do so might result in personal files on every machine. To avoid this pitfall, on the </w:t>
      </w:r>
    </w:p>
    <w:p>
      <w:pPr>
        <w:pStyle w:val="Normal"/>
      </w:pPr>
      <w:r>
        <w:t xml:space="preserve">baseline systems, right-click My Computer, select Properties (or launch the System applet from Control Panel), and use the User Profiles option to delete user profiles from the computer, as </w:t>
      </w:r>
    </w:p>
    <w:p>
      <w:pPr>
        <w:pStyle w:val="Normal"/>
      </w:pPr>
      <w:r>
        <w:t xml:space="preserve">Figure 2.2 illustrates.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85" name="index-41_1.png" descr="index-41_1.png"/>
            <wp:cNvGraphicFramePr>
              <a:graphicFrameLocks noChangeAspect="1"/>
            </wp:cNvGraphicFramePr>
            <a:graphic>
              <a:graphicData uri="http://schemas.openxmlformats.org/drawingml/2006/picture">
                <pic:pic>
                  <pic:nvPicPr>
                    <pic:cNvPr id="0" name="index-41_1.png" descr="index-41_1.png"/>
                    <pic:cNvPicPr/>
                  </pic:nvPicPr>
                  <pic:blipFill>
                    <a:blip r:embed="rId8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86" name="index-41_2.png" descr="index-41_2.png"/>
            <wp:cNvGraphicFramePr>
              <a:graphicFrameLocks noChangeAspect="1"/>
            </wp:cNvGraphicFramePr>
            <a:graphic>
              <a:graphicData uri="http://schemas.openxmlformats.org/drawingml/2006/picture">
                <pic:pic>
                  <pic:nvPicPr>
                    <pic:cNvPr id="0" name="index-41_2.png" descr="index-41_2.png"/>
                    <pic:cNvPicPr/>
                  </pic:nvPicPr>
                  <pic:blipFill>
                    <a:blip r:embed="rId90"/>
                    <a:stretch>
                      <a:fillRect/>
                    </a:stretch>
                  </pic:blipFill>
                  <pic:spPr>
                    <a:xfrm>
                      <a:off x="0" y="0"/>
                      <a:ext cx="914400" cy="444500"/>
                    </a:xfrm>
                    <a:prstGeom prst="rect">
                      <a:avLst/>
                    </a:prstGeom>
                  </pic:spPr>
                </pic:pic>
              </a:graphicData>
            </a:graphic>
          </wp:anchor>
        </w:drawing>
      </w:r>
    </w:p>
    <w:p>
      <w:pPr>
        <w:pStyle w:val="0 Block"/>
      </w:pPr>
    </w:p>
    <w:p>
      <w:bookmarkStart w:id="45" w:name="Chapter_2_5"/>
      <w:pPr>
        <w:pStyle w:val="Heading 1"/>
        <w:pageBreakBefore w:val="on"/>
      </w:pPr>
      <w:r>
        <w:t>Chapter 2</w:t>
      </w:r>
      <w:bookmarkEnd w:id="4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2108200"/>
            <wp:effectExtent l="0" r="0" t="0" b="0"/>
            <wp:wrapTopAndBottom/>
            <wp:docPr id="87" name="index-42_1.png" descr="index-42_1.png"/>
            <wp:cNvGraphicFramePr>
              <a:graphicFrameLocks noChangeAspect="1"/>
            </wp:cNvGraphicFramePr>
            <a:graphic>
              <a:graphicData uri="http://schemas.openxmlformats.org/drawingml/2006/picture">
                <pic:pic>
                  <pic:nvPicPr>
                    <pic:cNvPr id="0" name="index-42_1.png" descr="index-42_1.png"/>
                    <pic:cNvPicPr/>
                  </pic:nvPicPr>
                  <pic:blipFill>
                    <a:blip r:embed="rId91"/>
                    <a:stretch>
                      <a:fillRect/>
                    </a:stretch>
                  </pic:blipFill>
                  <pic:spPr>
                    <a:xfrm>
                      <a:off x="0" y="0"/>
                      <a:ext cx="1993900" cy="2108200"/>
                    </a:xfrm>
                    <a:prstGeom prst="rect">
                      <a:avLst/>
                    </a:prstGeom>
                  </pic:spPr>
                </pic:pic>
              </a:graphicData>
            </a:graphic>
          </wp:anchor>
        </w:drawing>
      </w:r>
    </w:p>
    <w:p>
      <w:pPr>
        <w:pStyle w:val="Para 25"/>
      </w:pPr>
      <w:r>
        <w:t/>
      </w:r>
    </w:p>
    <w:p>
      <w:pPr>
        <w:pStyle w:val="Para 26"/>
      </w:pPr>
      <w:r>
        <w:t xml:space="preserve"> </w:t>
      </w:r>
    </w:p>
    <w:p>
      <w:pPr>
        <w:pStyle w:val="Para 25"/>
      </w:pPr>
      <w:r>
        <w:t/>
      </w:r>
    </w:p>
    <w:p>
      <w:pPr>
        <w:pStyle w:val="Para 10"/>
      </w:pPr>
      <w:r>
        <w:t xml:space="preserve">Figure 2.2: User profile dialog box of the Windows System applet. </w:t>
      </w:r>
    </w:p>
    <w:p>
      <w:pPr>
        <w:pStyle w:val="Para 25"/>
      </w:pPr>
      <w:r>
        <w:t/>
      </w:r>
    </w:p>
    <w:p>
      <w:pPr>
        <w:pStyle w:val="Para 02"/>
      </w:pPr>
      <w:r>
        <w:t>Simply deleting the user profile directory (C:\Documents and Settings\</w:t>
        <w:t xml:space="preserve"> for Win2K and later </w:t>
      </w:r>
    </w:p>
    <w:p>
      <w:pPr>
        <w:pStyle w:val="Para 02"/>
      </w:pPr>
      <w:r>
        <w:t>and C:\WinNT\Profiles\</w:t>
        <w:t xml:space="preserve"> for Windows NT) does not effectively remove all traces of the user </w:t>
      </w:r>
    </w:p>
    <w:p>
      <w:pPr>
        <w:pStyle w:val="Para 02"/>
      </w:pPr>
      <w:r>
        <w:t xml:space="preserve">profile. </w:t>
      </w:r>
    </w:p>
    <w:p>
      <w:pPr>
        <w:pStyle w:val="Para 25"/>
      </w:pPr>
      <w:r>
        <w:t/>
      </w:r>
    </w:p>
    <w:p>
      <w:pPr>
        <w:pStyle w:val="Normal"/>
      </w:pPr>
      <w:r>
        <w:t xml:space="preserve">To automate the process, use the DelProf.exe utility from the Win2K resource kit. However, this task is usually one that you perform manually before finalizing the creation of a duplicate disk or </w:t>
      </w:r>
    </w:p>
    <w:p>
      <w:pPr>
        <w:pStyle w:val="Normal"/>
      </w:pPr>
      <w:r>
        <w:t xml:space="preserve">image. Therefore, using the previously mentioned method (illustrated in Figure 2.2) should work </w:t>
      </w:r>
    </w:p>
    <w:p>
      <w:pPr>
        <w:pStyle w:val="Normal"/>
      </w:pPr>
      <w:r>
        <w:t xml:space="preserve">fine for most situations and will allow Windows to properly account for the profile and all references to it. </w:t>
      </w:r>
    </w:p>
    <w:p>
      <w:pPr>
        <w:pStyle w:val="Para 25"/>
      </w:pPr>
      <w:r>
        <w:t/>
      </w:r>
    </w:p>
    <w:p>
      <w:pPr>
        <w:pStyle w:val="Para 09"/>
      </w:pPr>
      <w:r>
        <w:t xml:space="preserve">Security Identification Numbers </w:t>
      </w:r>
    </w:p>
    <w:p>
      <w:pPr>
        <w:pStyle w:val="Para 25"/>
      </w:pPr>
      <w:r>
        <w:t/>
      </w:r>
    </w:p>
    <w:p>
      <w:pPr>
        <w:pStyle w:val="Normal"/>
      </w:pPr>
      <w:r>
        <w:t xml:space="preserve">Users, groups, and computers are referred to by the security system of NT and later using their security identification numbers (SIDs). As Figure 2.3 shows, Windows does not see me as </w:t>
      </w:r>
      <w:r>
        <w:rPr>
          <w:rStyle w:val="Text0"/>
        </w:rPr>
        <w:t>bkelly</w:t>
      </w:r>
      <w:r>
        <w:t xml:space="preserve">, </w:t>
      </w:r>
    </w:p>
    <w:p>
      <w:pPr>
        <w:pStyle w:val="Normal"/>
      </w:pPr>
      <w:r>
        <w:t xml:space="preserve">but as S-1-5-21-592864255-1439916374-227697207-1031. It is important to the Windows </w:t>
      </w:r>
    </w:p>
    <w:p>
      <w:pPr>
        <w:pStyle w:val="Normal"/>
      </w:pPr>
      <w:r>
        <w:t xml:space="preserve">security system that these user SIDs are unique so that Windows does not confuse one account or </w:t>
      </w:r>
    </w:p>
    <w:p>
      <w:pPr>
        <w:pStyle w:val="Normal"/>
      </w:pPr>
      <w:r>
        <w:t xml:space="preserve">system with another.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88" name="index-42_2.png" descr="index-42_2.png"/>
            <wp:cNvGraphicFramePr>
              <a:graphicFrameLocks noChangeAspect="1"/>
            </wp:cNvGraphicFramePr>
            <a:graphic>
              <a:graphicData uri="http://schemas.openxmlformats.org/drawingml/2006/picture">
                <pic:pic>
                  <pic:nvPicPr>
                    <pic:cNvPr id="0" name="index-42_2.png" descr="index-42_2.png"/>
                    <pic:cNvPicPr/>
                  </pic:nvPicPr>
                  <pic:blipFill>
                    <a:blip r:embed="rId9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89" name="index-42_3.png" descr="index-42_3.png"/>
            <wp:cNvGraphicFramePr>
              <a:graphicFrameLocks noChangeAspect="1"/>
            </wp:cNvGraphicFramePr>
            <a:graphic>
              <a:graphicData uri="http://schemas.openxmlformats.org/drawingml/2006/picture">
                <pic:pic>
                  <pic:nvPicPr>
                    <pic:cNvPr id="0" name="index-42_3.png" descr="index-42_3.png"/>
                    <pic:cNvPicPr/>
                  </pic:nvPicPr>
                  <pic:blipFill>
                    <a:blip r:embed="rId93"/>
                    <a:stretch>
                      <a:fillRect/>
                    </a:stretch>
                  </pic:blipFill>
                  <pic:spPr>
                    <a:xfrm>
                      <a:off x="0" y="0"/>
                      <a:ext cx="914400" cy="444500"/>
                    </a:xfrm>
                    <a:prstGeom prst="rect">
                      <a:avLst/>
                    </a:prstGeom>
                  </pic:spPr>
                </pic:pic>
              </a:graphicData>
            </a:graphic>
          </wp:anchor>
        </w:drawing>
      </w:r>
    </w:p>
    <w:p>
      <w:pPr>
        <w:pStyle w:val="0 Block"/>
      </w:pPr>
    </w:p>
    <w:p>
      <w:bookmarkStart w:id="46" w:name="Chapter_2_6"/>
      <w:pPr>
        <w:pStyle w:val="Heading 1"/>
        <w:pageBreakBefore w:val="on"/>
      </w:pPr>
      <w:r>
        <w:t>Chapter 2</w:t>
      </w:r>
      <w:bookmarkEnd w:id="4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1854200"/>
            <wp:effectExtent l="0" r="0" t="0" b="0"/>
            <wp:wrapTopAndBottom/>
            <wp:docPr id="90" name="index-43_1.png" descr="index-43_1.png"/>
            <wp:cNvGraphicFramePr>
              <a:graphicFrameLocks noChangeAspect="1"/>
            </wp:cNvGraphicFramePr>
            <a:graphic>
              <a:graphicData uri="http://schemas.openxmlformats.org/drawingml/2006/picture">
                <pic:pic>
                  <pic:nvPicPr>
                    <pic:cNvPr id="0" name="index-43_1.png" descr="index-43_1.png"/>
                    <pic:cNvPicPr/>
                  </pic:nvPicPr>
                  <pic:blipFill>
                    <a:blip r:embed="rId94"/>
                    <a:stretch>
                      <a:fillRect/>
                    </a:stretch>
                  </pic:blipFill>
                  <pic:spPr>
                    <a:xfrm>
                      <a:off x="0" y="0"/>
                      <a:ext cx="2273300" cy="1854200"/>
                    </a:xfrm>
                    <a:prstGeom prst="rect">
                      <a:avLst/>
                    </a:prstGeom>
                  </pic:spPr>
                </pic:pic>
              </a:graphicData>
            </a:graphic>
          </wp:anchor>
        </w:drawing>
      </w:r>
    </w:p>
    <w:p>
      <w:pPr>
        <w:pStyle w:val="Para 25"/>
      </w:pPr>
      <w:r>
        <w:t/>
      </w:r>
    </w:p>
    <w:p>
      <w:pPr>
        <w:pStyle w:val="Para 31"/>
      </w:pPr>
      <w:r>
        <w:t xml:space="preserve"> </w:t>
      </w:r>
    </w:p>
    <w:p>
      <w:pPr>
        <w:pStyle w:val="Para 25"/>
      </w:pPr>
      <w:r>
        <w:t/>
      </w:r>
    </w:p>
    <w:p>
      <w:pPr>
        <w:pStyle w:val="Para 10"/>
      </w:pPr>
      <w:r>
        <w:t xml:space="preserve">Figure 2.3: Registry editor view of HKEY_USERS. </w:t>
      </w:r>
    </w:p>
    <w:p>
      <w:pPr>
        <w:pStyle w:val="Para 25"/>
      </w:pPr>
      <w:r>
        <w:t/>
      </w:r>
    </w:p>
    <w:p>
      <w:pPr>
        <w:pStyle w:val="Normal"/>
      </w:pPr>
      <w:r>
        <w:t xml:space="preserve">When a machine is imaged, so are the unique SIDs for the computer and its local accounts. For </w:t>
      </w:r>
    </w:p>
    <w:p>
      <w:pPr>
        <w:pStyle w:val="Normal"/>
      </w:pPr>
      <w:r>
        <w:t xml:space="preserve">most environments, this problem isn’t as serious as you might have been lead to believe. When a </w:t>
      </w:r>
    </w:p>
    <w:p>
      <w:pPr>
        <w:pStyle w:val="Normal"/>
      </w:pPr>
      <w:r>
        <w:t xml:space="preserve">workstation joins a domain, a domain SID is generated for the computer, which results in a </w:t>
      </w:r>
    </w:p>
    <w:p>
      <w:pPr>
        <w:pStyle w:val="Normal"/>
      </w:pPr>
      <w:r>
        <w:t xml:space="preserve">unique SID for that workstation. Where this can be a problem is with any computers that do not join a domain (workgroup configurations). When you have two or more computers with the same </w:t>
      </w:r>
    </w:p>
    <w:p>
      <w:pPr>
        <w:pStyle w:val="Normal"/>
      </w:pPr>
      <w:r>
        <w:t xml:space="preserve">computer SID, local user and group accounts created on these different computers will generate </w:t>
      </w:r>
    </w:p>
    <w:p>
      <w:pPr>
        <w:pStyle w:val="Normal"/>
      </w:pPr>
      <w:r>
        <w:t xml:space="preserve">the same SIDs as they are created. The first account created on one computer and the first account created on another computer (with the same computer SID) will each be assigned the </w:t>
      </w:r>
    </w:p>
    <w:p>
      <w:pPr>
        <w:pStyle w:val="Normal"/>
      </w:pPr>
      <w:r>
        <w:t xml:space="preserve">same user SID. In this scenario, both users will have the same security credentials and will </w:t>
      </w:r>
    </w:p>
    <w:p>
      <w:pPr>
        <w:pStyle w:val="Normal"/>
      </w:pPr>
      <w:r>
        <w:t xml:space="preserve">therefore be able to access each other’s data, even when it is restricted with NTFS file permissions. There are a number of both third-party and Microsoft tools available to address the </w:t>
      </w:r>
    </w:p>
    <w:p>
      <w:pPr>
        <w:pStyle w:val="Normal"/>
      </w:pPr>
      <w:r>
        <w:t xml:space="preserve">issue of duplicate SIDs, as the following sections show. </w:t>
      </w:r>
    </w:p>
    <w:p>
      <w:pPr>
        <w:pStyle w:val="Para 25"/>
      </w:pPr>
      <w:r>
        <w:t/>
      </w:r>
    </w:p>
    <w:p>
      <w:pPr>
        <w:pStyle w:val="Para 17"/>
      </w:pPr>
      <w:r>
        <w:t xml:space="preserve">Sysprep </w:t>
      </w:r>
    </w:p>
    <w:p>
      <w:pPr>
        <w:pStyle w:val="Normal"/>
      </w:pPr>
      <w:r>
        <w:t xml:space="preserve">Microsoft Sysprep once did little more than generate a new SID for a system; the latest version of the tool does quite a bit more. The answer file used by Sysprep (Sysprep.inf) provides much </w:t>
      </w:r>
    </w:p>
    <w:p>
      <w:pPr>
        <w:pStyle w:val="Normal"/>
      </w:pPr>
      <w:r>
        <w:t xml:space="preserve">of the functionality used to perform an unattended installation, including naming the system, </w:t>
      </w:r>
    </w:p>
    <w:p>
      <w:pPr>
        <w:pStyle w:val="Normal"/>
      </w:pPr>
      <w:r>
        <w:t xml:space="preserve">identifying drivers, and setting the local administrator password. For Win2K and later systems, Sysprep can also instruct the system to rebuild its Plug-and-Play (PnP) driver database. I provide </w:t>
      </w:r>
    </w:p>
    <w:p>
      <w:pPr>
        <w:pStyle w:val="Normal"/>
      </w:pPr>
      <w:r>
        <w:t xml:space="preserve">more details about Sysprep later in this chapter. </w:t>
      </w:r>
    </w:p>
    <w:p>
      <w:pPr>
        <w:pStyle w:val="Para 25"/>
      </w:pPr>
      <w:r>
        <w:t/>
      </w:r>
    </w:p>
    <w:p>
      <w:pPr>
        <w:pStyle w:val="Para 17"/>
      </w:pPr>
      <w:r>
        <w:t xml:space="preserve">Ghost Walker </w:t>
      </w:r>
    </w:p>
    <w:p>
      <w:pPr>
        <w:pStyle w:val="Normal"/>
      </w:pPr>
      <w:r>
        <w:t xml:space="preserve">Ghost Walker is provided with Symantec’s Norton Ghost tool suite to “walk” through a system and replace duplicate SIDs with newly generated SIDs to ensure uniqueness. Ghost Walker also </w:t>
      </w:r>
    </w:p>
    <w:p>
      <w:pPr>
        <w:pStyle w:val="Normal"/>
      </w:pPr>
      <w:r>
        <w:t xml:space="preserve">changes the SID for all user profiles on the computer to a unique, randomly generated value. </w:t>
      </w:r>
    </w:p>
    <w:p>
      <w:pPr>
        <w:pStyle w:val="Normal"/>
      </w:pPr>
      <w:r>
        <w:t xml:space="preserve">Because both the imaging utility (Ghost) and Ghost Walker run in DOS, changing the SID with Ghost Walker does not require an additional restart as most similar tools do.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91" name="index-43_2.png" descr="index-43_2.png"/>
            <wp:cNvGraphicFramePr>
              <a:graphicFrameLocks noChangeAspect="1"/>
            </wp:cNvGraphicFramePr>
            <a:graphic>
              <a:graphicData uri="http://schemas.openxmlformats.org/drawingml/2006/picture">
                <pic:pic>
                  <pic:nvPicPr>
                    <pic:cNvPr id="0" name="index-43_2.png" descr="index-43_2.png"/>
                    <pic:cNvPicPr/>
                  </pic:nvPicPr>
                  <pic:blipFill>
                    <a:blip r:embed="rId9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92" name="index-43_3.png" descr="index-43_3.png"/>
            <wp:cNvGraphicFramePr>
              <a:graphicFrameLocks noChangeAspect="1"/>
            </wp:cNvGraphicFramePr>
            <a:graphic>
              <a:graphicData uri="http://schemas.openxmlformats.org/drawingml/2006/picture">
                <pic:pic>
                  <pic:nvPicPr>
                    <pic:cNvPr id="0" name="index-43_3.png" descr="index-43_3.png"/>
                    <pic:cNvPicPr/>
                  </pic:nvPicPr>
                  <pic:blipFill>
                    <a:blip r:embed="rId96"/>
                    <a:stretch>
                      <a:fillRect/>
                    </a:stretch>
                  </pic:blipFill>
                  <pic:spPr>
                    <a:xfrm>
                      <a:off x="0" y="0"/>
                      <a:ext cx="914400" cy="444500"/>
                    </a:xfrm>
                    <a:prstGeom prst="rect">
                      <a:avLst/>
                    </a:prstGeom>
                  </pic:spPr>
                </pic:pic>
              </a:graphicData>
            </a:graphic>
          </wp:anchor>
        </w:drawing>
      </w:r>
    </w:p>
    <w:p>
      <w:pPr>
        <w:pStyle w:val="0 Block"/>
      </w:pPr>
    </w:p>
    <w:p>
      <w:bookmarkStart w:id="47" w:name="Chapter_2_7"/>
      <w:pPr>
        <w:pStyle w:val="Heading 1"/>
        <w:pageBreakBefore w:val="on"/>
      </w:pPr>
      <w:r>
        <w:t>Chapter 2</w:t>
      </w:r>
      <w:bookmarkEnd w:id="47"/>
    </w:p>
    <w:p>
      <w:pPr>
        <w:pStyle w:val="Para 25"/>
      </w:pPr>
      <w:r>
        <w:t/>
      </w:r>
    </w:p>
    <w:p>
      <w:pPr>
        <w:pStyle w:val="Para 17"/>
      </w:pPr>
      <w:r>
        <w:t xml:space="preserve">SIDgen </w:t>
      </w:r>
    </w:p>
    <w:p>
      <w:pPr>
        <w:pStyle w:val="Normal"/>
      </w:pPr>
      <w:r>
        <w:t xml:space="preserve">SIDgen from Altiris provides a means of changing SIDs in the registry and the file system. </w:t>
      </w:r>
    </w:p>
    <w:p>
      <w:pPr>
        <w:pStyle w:val="Normal"/>
      </w:pPr>
      <w:r>
        <w:t xml:space="preserve">SIDgen works by backing up the registry, then generating a unique SID for the computer. It searches all registry hives and replaces appropriate entries with the newly generated SID. SIDgen </w:t>
      </w:r>
    </w:p>
    <w:p>
      <w:pPr>
        <w:pStyle w:val="Normal"/>
      </w:pPr>
      <w:r>
        <w:t xml:space="preserve">then replaces SIDs found in the file system (NTFS permissions). You run SIDgen from within </w:t>
      </w:r>
    </w:p>
    <w:p>
      <w:pPr>
        <w:pStyle w:val="Normal"/>
      </w:pPr>
      <w:r>
        <w:t xml:space="preserve">Windows, and though it is automated, it does require a reboot when complete. </w:t>
      </w:r>
    </w:p>
    <w:p>
      <w:pPr>
        <w:pStyle w:val="Para 25"/>
      </w:pPr>
      <w:r>
        <w:t/>
      </w:r>
    </w:p>
    <w:p>
      <w:pPr>
        <w:pStyle w:val="Para 17"/>
      </w:pPr>
      <w:r>
        <w:t xml:space="preserve">SIDchanger </w:t>
      </w:r>
    </w:p>
    <w:p>
      <w:pPr>
        <w:pStyle w:val="Normal"/>
      </w:pPr>
      <w:r>
        <w:t xml:space="preserve">SIDchanger from PowerQuest is yet another tool that comes with PowerQuest DeployCenter. </w:t>
      </w:r>
    </w:p>
    <w:p>
      <w:pPr>
        <w:pStyle w:val="Normal"/>
      </w:pPr>
      <w:r>
        <w:t xml:space="preserve">SIDchanger supports only NT; PowerQuest recommends using Microsoft’s Sysprep for Win2K </w:t>
      </w:r>
    </w:p>
    <w:p>
      <w:pPr>
        <w:pStyle w:val="Normal"/>
      </w:pPr>
      <w:r>
        <w:t xml:space="preserve">and later systems. </w:t>
      </w:r>
    </w:p>
    <w:p>
      <w:pPr>
        <w:pStyle w:val="Para 25"/>
      </w:pPr>
      <w:r>
        <w:t/>
      </w:r>
    </w:p>
    <w:p>
      <w:pPr>
        <w:pStyle w:val="Para 17"/>
      </w:pPr>
      <w:r>
        <w:t xml:space="preserve">ImageCast SID Creator </w:t>
      </w:r>
    </w:p>
    <w:p>
      <w:pPr>
        <w:pStyle w:val="Normal"/>
      </w:pPr>
      <w:r>
        <w:t xml:space="preserve">ImageCast from Phoenix Technologies offers SID Creator as its tool to automatically assign a </w:t>
      </w:r>
    </w:p>
    <w:p>
      <w:pPr>
        <w:pStyle w:val="Normal"/>
      </w:pPr>
      <w:r>
        <w:t xml:space="preserve">unique SID on each NT and Win2K workstation after imaging. However, the company </w:t>
      </w:r>
    </w:p>
    <w:p>
      <w:pPr>
        <w:pStyle w:val="Normal"/>
      </w:pPr>
      <w:r>
        <w:t xml:space="preserve">recommends using Sysprep for this task. </w:t>
      </w:r>
    </w:p>
    <w:p>
      <w:pPr>
        <w:pStyle w:val="Para 25"/>
      </w:pPr>
      <w:r>
        <w:t/>
      </w:r>
    </w:p>
    <w:p>
      <w:pPr>
        <w:pStyle w:val="Para 17"/>
      </w:pPr>
      <w:r>
        <w:t xml:space="preserve">NewSID </w:t>
      </w:r>
    </w:p>
    <w:p>
      <w:pPr>
        <w:pStyle w:val="Normal"/>
      </w:pPr>
      <w:r>
        <w:t xml:space="preserve">Sysinternals’ NewSID is a popular free tool for dealing with SID duplication problems. The most </w:t>
      </w:r>
    </w:p>
    <w:p>
      <w:pPr>
        <w:pStyle w:val="Normal"/>
      </w:pPr>
      <w:r>
        <w:t xml:space="preserve">recent release includes support for Windows XP and Windows Server 2003, a wizard-style interface, and the ability to specify the SID that you want applied in addition to other </w:t>
      </w:r>
    </w:p>
    <w:p>
      <w:pPr>
        <w:pStyle w:val="Normal"/>
      </w:pPr>
      <w:r>
        <w:t xml:space="preserve">enhancements. NewSID also provides full source code. </w:t>
      </w:r>
    </w:p>
    <w:p>
      <w:pPr>
        <w:pStyle w:val="Para 25"/>
      </w:pPr>
      <w:r>
        <w:t/>
      </w:r>
    </w:p>
    <w:p>
      <w:pPr>
        <w:pStyle w:val="Normal"/>
      </w:pPr>
      <w:r>
        <w:t xml:space="preserve">With so many tools available, it can be a bit confusing to determine which is best for you. If you are not joining a domain or have local user accounts in your baseline, vendor-provided tools such </w:t>
      </w:r>
    </w:p>
    <w:p>
      <w:pPr>
        <w:pStyle w:val="Normal"/>
      </w:pPr>
      <w:r>
        <w:t xml:space="preserve">as SIDgen and Ghost Walker provide more thorough scans of the computer, including the file </w:t>
      </w:r>
    </w:p>
    <w:p>
      <w:pPr>
        <w:pStyle w:val="Normal"/>
      </w:pPr>
      <w:r>
        <w:t xml:space="preserve">system. However, for most, Sysprep is more than sufficient and is a very powerful tool in the </w:t>
      </w:r>
    </w:p>
    <w:p>
      <w:pPr>
        <w:pStyle w:val="Normal"/>
      </w:pPr>
      <w:r>
        <w:t xml:space="preserve">deployment of new systems. </w:t>
      </w:r>
    </w:p>
    <w:p>
      <w:pPr>
        <w:pStyle w:val="Para 25"/>
      </w:pPr>
      <w:r>
        <w:t/>
      </w:r>
    </w:p>
    <w:p>
      <w:pPr>
        <w:pStyle w:val="Para 07"/>
      </w:pPr>
      <w:r>
        <w:t xml:space="preserve">Initial Build Size </w:t>
      </w:r>
    </w:p>
    <w:p>
      <w:pPr>
        <w:pStyle w:val="Normal"/>
      </w:pPr>
      <w:r>
        <w:t xml:space="preserve">Keep your image as small as possible so that it takes up less space (particularly when you need it </w:t>
      </w:r>
    </w:p>
    <w:p>
      <w:pPr>
        <w:pStyle w:val="Normal"/>
      </w:pPr>
      <w:r>
        <w:t xml:space="preserve">to fit on removable media). Most tools allow you to span media, but it is certainly more </w:t>
      </w:r>
    </w:p>
    <w:p>
      <w:pPr>
        <w:pStyle w:val="Normal"/>
      </w:pPr>
      <w:r>
        <w:t xml:space="preserve">manageable if you can keep your image on one CD-ROM or DVD. With a simple baseline image </w:t>
      </w:r>
    </w:p>
    <w:p>
      <w:pPr>
        <w:pStyle w:val="Normal"/>
      </w:pPr>
      <w:r>
        <w:t xml:space="preserve">containing little more than the OS, a compressed image might fit on a single CD-ROM. Although a single CD-ROM image is ideal, the compression you will be able to attain will vary </w:t>
      </w:r>
    </w:p>
    <w:p>
      <w:pPr>
        <w:pStyle w:val="Normal"/>
      </w:pPr>
      <w:r>
        <w:t xml:space="preserve">and a single CD-ROM might prove a difficult goal. </w:t>
      </w:r>
    </w:p>
    <w:p>
      <w:pPr>
        <w:pStyle w:val="Para 25"/>
      </w:pPr>
      <w:r>
        <w:t/>
      </w:r>
    </w:p>
    <w:p>
      <w:pPr>
        <w:pStyle w:val="Normal"/>
      </w:pPr>
      <w:r>
        <w:t xml:space="preserve">Another reason to keep your baseline image small is to increase the speed with which you can apply the image. A smaller image will obviously take less time to process than a larger one. This </w:t>
      </w:r>
    </w:p>
    <w:p>
      <w:pPr>
        <w:pStyle w:val="Normal"/>
      </w:pPr>
      <w:r>
        <w:t xml:space="preserve">processing time is of particular concern when it comes to network downloads, as bandwidth </w:t>
      </w:r>
    </w:p>
    <w:p>
      <w:pPr>
        <w:pStyle w:val="Normal"/>
      </w:pPr>
      <w:r>
        <w:t xml:space="preserve">limitations will be a factor for a longer period of time. The following list explores ways to keep your initial build size small. </w:t>
      </w:r>
    </w:p>
    <w:p>
      <w:pPr>
        <w:pStyle w:val="Para 25"/>
      </w:pPr>
      <w:r>
        <w:t/>
      </w:r>
    </w:p>
    <w:p>
      <w:pPr>
        <w:pStyle w:val="Para 04"/>
      </w:pPr>
      <w:r>
        <w:t xml:space="preserve">• </w:t>
        <w:t xml:space="preserve">Reduce Windows File Protection cache—The default size of the Windows File Protection </w:t>
      </w:r>
    </w:p>
    <w:p>
      <w:pPr>
        <w:pStyle w:val="Para 01"/>
      </w:pPr>
      <w:r>
        <w:t xml:space="preserve">(WFP) cache is 400MB. The same files will be protected by WFP regardless of the cache </w:t>
      </w:r>
    </w:p>
    <w:p>
      <w:pPr>
        <w:pStyle w:val="Para 01"/>
      </w:pPr>
      <w:r>
        <w:t xml:space="preserve">size, so you can reduce the cache size to decrease the size of your initial build. The downside to doing so is that you might be prompted for an installation CD-ROM or </w:t>
      </w:r>
    </w:p>
    <w:p>
      <w:pPr>
        <w:pStyle w:val="Para 01"/>
      </w:pPr>
      <w:r>
        <w:t xml:space="preserve">network shared installation files in order for WFP to do its job restoring replaced or </w:t>
      </w:r>
    </w:p>
    <w:p>
      <w:pPr>
        <w:pStyle w:val="Para 01"/>
      </w:pPr>
      <w:r>
        <w:t xml:space="preserve">removed files.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93" name="index-44_1.png" descr="index-44_1.png"/>
            <wp:cNvGraphicFramePr>
              <a:graphicFrameLocks noChangeAspect="1"/>
            </wp:cNvGraphicFramePr>
            <a:graphic>
              <a:graphicData uri="http://schemas.openxmlformats.org/drawingml/2006/picture">
                <pic:pic>
                  <pic:nvPicPr>
                    <pic:cNvPr id="0" name="index-44_1.png" descr="index-44_1.png"/>
                    <pic:cNvPicPr/>
                  </pic:nvPicPr>
                  <pic:blipFill>
                    <a:blip r:embed="rId9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94" name="index-44_2.png" descr="index-44_2.png"/>
            <wp:cNvGraphicFramePr>
              <a:graphicFrameLocks noChangeAspect="1"/>
            </wp:cNvGraphicFramePr>
            <a:graphic>
              <a:graphicData uri="http://schemas.openxmlformats.org/drawingml/2006/picture">
                <pic:pic>
                  <pic:nvPicPr>
                    <pic:cNvPr id="0" name="index-44_2.png" descr="index-44_2.png"/>
                    <pic:cNvPicPr/>
                  </pic:nvPicPr>
                  <pic:blipFill>
                    <a:blip r:embed="rId98"/>
                    <a:stretch>
                      <a:fillRect/>
                    </a:stretch>
                  </pic:blipFill>
                  <pic:spPr>
                    <a:xfrm>
                      <a:off x="0" y="0"/>
                      <a:ext cx="914400" cy="444500"/>
                    </a:xfrm>
                    <a:prstGeom prst="rect">
                      <a:avLst/>
                    </a:prstGeom>
                  </pic:spPr>
                </pic:pic>
              </a:graphicData>
            </a:graphic>
          </wp:anchor>
        </w:drawing>
      </w:r>
    </w:p>
    <w:p>
      <w:pPr>
        <w:pStyle w:val="0 Block"/>
      </w:pPr>
    </w:p>
    <w:p>
      <w:bookmarkStart w:id="48" w:name="Chapter_2_8"/>
      <w:pPr>
        <w:pStyle w:val="Heading 1"/>
        <w:pageBreakBefore w:val="on"/>
      </w:pPr>
      <w:r>
        <w:t>Chapter 2</w:t>
      </w:r>
      <w:bookmarkEnd w:id="48"/>
    </w:p>
    <w:p>
      <w:pPr>
        <w:pStyle w:val="Para 25"/>
      </w:pPr>
      <w:r>
        <w:t/>
      </w:r>
    </w:p>
    <w:p>
      <w:pPr>
        <w:pStyle w:val="Para 02"/>
      </w:pPr>
      <w:r>
        <w:t xml:space="preserve">For information about WFP and controlling the size of the cache, see the Microsoft article “Description </w:t>
      </w:r>
    </w:p>
    <w:p>
      <w:pPr>
        <w:pStyle w:val="Para 02"/>
      </w:pPr>
      <w:r>
        <w:t xml:space="preserve">of the Windows File Protection Feature.” </w:t>
      </w:r>
    </w:p>
    <w:p>
      <w:pPr>
        <w:pStyle w:val="Para 25"/>
      </w:pPr>
      <w:r>
        <w:t/>
      </w:r>
    </w:p>
    <w:p>
      <w:pPr>
        <w:pStyle w:val="Para 04"/>
      </w:pPr>
      <w:r>
        <w:t xml:space="preserve">• </w:t>
        <w:t xml:space="preserve">Turn off hibernation support—The hibernation file, Hiberfil.sys, is roughly the size of the </w:t>
      </w:r>
    </w:p>
    <w:p>
      <w:pPr>
        <w:pStyle w:val="Para 01"/>
      </w:pPr>
      <w:r>
        <w:t xml:space="preserve">amount of RAM on the local system, which can be hundreds of megabytes that you need </w:t>
      </w:r>
    </w:p>
    <w:p>
      <w:pPr>
        <w:pStyle w:val="Para 01"/>
      </w:pPr>
      <w:r>
        <w:t xml:space="preserve">not include in an image. To be rid of the hibernation file, turn off hibernation mode support. To do so, in the Display Control Panel applet, click Power in the Monitor Power </w:t>
      </w:r>
    </w:p>
    <w:p>
      <w:pPr>
        <w:pStyle w:val="Para 01"/>
      </w:pPr>
      <w:r>
        <w:t xml:space="preserve">area of the Screen Saver tab. Next, select Never from the drop-down list for the </w:t>
      </w:r>
      <w:r>
        <w:rPr>
          <w:rStyle w:val="Text0"/>
        </w:rPr>
        <w:t xml:space="preserve">System </w:t>
      </w:r>
    </w:p>
    <w:p>
      <w:pPr>
        <w:pStyle w:val="Para 01"/>
      </w:pPr>
      <w:r>
        <w:rPr>
          <w:rStyle w:val="Text0"/>
        </w:rPr>
        <w:t>hibernates</w:t>
      </w:r>
      <w:r>
        <w:t xml:space="preserve"> option, and press OK. If you really want hibernation support, consider automating the setting after the system is imaged. Listing 2.1 shows an KiXtart script that </w:t>
      </w:r>
    </w:p>
    <w:p>
      <w:pPr>
        <w:pStyle w:val="Para 01"/>
      </w:pPr>
      <w:r>
        <w:t xml:space="preserve">activates Windows hibernation support. </w:t>
      </w:r>
    </w:p>
    <w:p>
      <w:pPr>
        <w:pStyle w:val="Para 25"/>
      </w:pPr>
      <w:r>
        <w:t/>
      </w:r>
    </w:p>
    <w:p>
      <w:pPr>
        <w:pStyle w:val="Para 03"/>
      </w:pPr>
      <w:r>
        <w:t xml:space="preserve">Run "%Comspec% /c RunDLL32.EXE shell32.dll,Control_RunDLL ups.cpl,2" </w:t>
        <w:t xml:space="preserve">Do Sleep 1 Until SetFocus ("Power Options Properties") = 0 </w:t>
        <w:t xml:space="preserve">$rc = SendKeys("~H") </w:t>
      </w:r>
    </w:p>
    <w:p>
      <w:pPr>
        <w:pStyle w:val="Para 03"/>
      </w:pPr>
      <w:r>
        <w:t xml:space="preserve">$rc = SendKeys ("{TAB 4}") </w:t>
      </w:r>
    </w:p>
    <w:p>
      <w:pPr>
        <w:pStyle w:val="Para 03"/>
      </w:pPr>
      <w:r>
        <w:t xml:space="preserve">$rc = SendKeys("{RIGHT 4}") </w:t>
      </w:r>
    </w:p>
    <w:p>
      <w:pPr>
        <w:pStyle w:val="Para 03"/>
      </w:pPr>
      <w:r>
        <w:t xml:space="preserve">$rc = SendKeys("~H") </w:t>
      </w:r>
    </w:p>
    <w:p>
      <w:pPr>
        <w:pStyle w:val="Para 03"/>
      </w:pPr>
      <w:r>
        <w:t xml:space="preserve">$rc = SendKeys("{ENTER}") </w:t>
      </w:r>
    </w:p>
    <w:p>
      <w:pPr>
        <w:pStyle w:val="Para 25"/>
      </w:pPr>
      <w:r>
        <w:t/>
      </w:r>
    </w:p>
    <w:p>
      <w:pPr>
        <w:pStyle w:val="Para 10"/>
      </w:pPr>
      <w:r>
        <w:t xml:space="preserve">Listing 2.1: KiXtart script to activate Windows hibernation support. </w:t>
      </w:r>
    </w:p>
    <w:p>
      <w:pPr>
        <w:pStyle w:val="Para 25"/>
      </w:pPr>
      <w:r>
        <w:t/>
      </w:r>
    </w:p>
    <w:p>
      <w:pPr>
        <w:pStyle w:val="Para 04"/>
      </w:pPr>
      <w:r>
        <w:t xml:space="preserve">• </w:t>
        <w:t xml:space="preserve">Empty the Recycle Bin—By default, the Windows Recycle Bin is set to 10 percent of </w:t>
      </w:r>
    </w:p>
    <w:p>
      <w:pPr>
        <w:pStyle w:val="Para 01"/>
      </w:pPr>
      <w:r>
        <w:t xml:space="preserve">your hard disk. If you are creating an image, the Recycle Bin certainly should be nowhere </w:t>
      </w:r>
    </w:p>
    <w:p>
      <w:pPr>
        <w:pStyle w:val="Para 01"/>
      </w:pPr>
      <w:r>
        <w:t xml:space="preserve">near full, but ensure that it is empty to save as much space as possible. </w:t>
      </w:r>
    </w:p>
    <w:p>
      <w:pPr>
        <w:pStyle w:val="Para 25"/>
      </w:pPr>
      <w:r>
        <w:t/>
      </w:r>
    </w:p>
    <w:p>
      <w:pPr>
        <w:pStyle w:val="Para 04"/>
      </w:pPr>
      <w:r>
        <w:t xml:space="preserve">• </w:t>
        <w:t xml:space="preserve">Clear the event logs—By default, the event logs can be as large as 512KB. In addition to </w:t>
      </w:r>
    </w:p>
    <w:p>
      <w:pPr>
        <w:pStyle w:val="Para 01"/>
      </w:pPr>
      <w:r>
        <w:t xml:space="preserve">eliminating wasted space, clearing the event logs before you create your baseline image will avoid confusion that arises when events that were inadvertently deployed to systems </w:t>
      </w:r>
    </w:p>
    <w:p>
      <w:pPr>
        <w:pStyle w:val="Para 01"/>
      </w:pPr>
      <w:r>
        <w:t xml:space="preserve">where the events didn’t take place show up in the event logs. </w:t>
      </w:r>
    </w:p>
    <w:p>
      <w:pPr>
        <w:pStyle w:val="Para 25"/>
      </w:pPr>
      <w:r>
        <w:t/>
      </w:r>
    </w:p>
    <w:p>
      <w:pPr>
        <w:pStyle w:val="Para 04"/>
      </w:pPr>
      <w:r>
        <w:t xml:space="preserve">• </w:t>
        <w:t xml:space="preserve">Delete user profiles—As discussed earlier, deleting user profiles just makes good sense. </w:t>
      </w:r>
    </w:p>
    <w:p>
      <w:pPr>
        <w:pStyle w:val="Para 01"/>
      </w:pPr>
      <w:r>
        <w:t xml:space="preserve">They can potentially be quite large, but regardless of the size, it is unprofessional to include your own documents, settings, Internet cache, and who know what else in a </w:t>
      </w:r>
    </w:p>
    <w:p>
      <w:pPr>
        <w:pStyle w:val="Para 01"/>
      </w:pPr>
      <w:r>
        <w:t xml:space="preserve">baseline image to be installed across the network. </w:t>
      </w:r>
    </w:p>
    <w:p>
      <w:pPr>
        <w:pStyle w:val="Para 25"/>
      </w:pPr>
      <w:r>
        <w:t/>
      </w:r>
    </w:p>
    <w:p>
      <w:pPr>
        <w:pStyle w:val="Para 04"/>
      </w:pPr>
      <w:r>
        <w:t xml:space="preserve">• </w:t>
        <w:t xml:space="preserve">Empty temporary directories—Check the local admin temp directory and the system </w:t>
      </w:r>
    </w:p>
    <w:p>
      <w:pPr>
        <w:pStyle w:val="Para 01"/>
      </w:pPr>
      <w:r>
        <w:t xml:space="preserve">temp directory for files that might have been generated and not cleaned up during </w:t>
      </w:r>
    </w:p>
    <w:p>
      <w:pPr>
        <w:pStyle w:val="Para 01"/>
      </w:pPr>
      <w:r>
        <w:t xml:space="preserve">application installations or other setup operations. Use the NT and later built-in utility for cleaning up your hard drive by typing </w:t>
      </w:r>
    </w:p>
    <w:p>
      <w:pPr>
        <w:pStyle w:val="Para 25"/>
      </w:pPr>
      <w:r>
        <w:t/>
      </w:r>
    </w:p>
    <w:p>
      <w:pPr>
        <w:pStyle w:val="Para 11"/>
      </w:pPr>
      <w:r>
        <w:t xml:space="preserve">cleanmgr.exe </w:t>
      </w:r>
    </w:p>
    <w:p>
      <w:pPr>
        <w:pStyle w:val="Para 25"/>
      </w:pPr>
      <w:r>
        <w:t/>
      </w:r>
    </w:p>
    <w:p>
      <w:pPr>
        <w:pStyle w:val="Para 01"/>
      </w:pPr>
      <w:r>
        <w:t xml:space="preserve">from the Start menu’s Run dialog box or at a command prompt. The Disk Cleanup tool </w:t>
      </w:r>
    </w:p>
    <w:p>
      <w:pPr>
        <w:pStyle w:val="Para 01"/>
      </w:pPr>
      <w:r>
        <w:t xml:space="preserve">will scan the specified drive for temporary files and facilitate their deletion (see Figure 2.4).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95" name="index-45_1.png" descr="index-45_1.png"/>
            <wp:cNvGraphicFramePr>
              <a:graphicFrameLocks noChangeAspect="1"/>
            </wp:cNvGraphicFramePr>
            <a:graphic>
              <a:graphicData uri="http://schemas.openxmlformats.org/drawingml/2006/picture">
                <pic:pic>
                  <pic:nvPicPr>
                    <pic:cNvPr id="0" name="index-45_1.png" descr="index-45_1.png"/>
                    <pic:cNvPicPr/>
                  </pic:nvPicPr>
                  <pic:blipFill>
                    <a:blip r:embed="rId9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96" name="index-45_2.png" descr="index-45_2.png"/>
            <wp:cNvGraphicFramePr>
              <a:graphicFrameLocks noChangeAspect="1"/>
            </wp:cNvGraphicFramePr>
            <a:graphic>
              <a:graphicData uri="http://schemas.openxmlformats.org/drawingml/2006/picture">
                <pic:pic>
                  <pic:nvPicPr>
                    <pic:cNvPr id="0" name="index-45_2.png" descr="index-45_2.png"/>
                    <pic:cNvPicPr/>
                  </pic:nvPicPr>
                  <pic:blipFill>
                    <a:blip r:embed="rId100"/>
                    <a:stretch>
                      <a:fillRect/>
                    </a:stretch>
                  </pic:blipFill>
                  <pic:spPr>
                    <a:xfrm>
                      <a:off x="0" y="0"/>
                      <a:ext cx="914400" cy="444500"/>
                    </a:xfrm>
                    <a:prstGeom prst="rect">
                      <a:avLst/>
                    </a:prstGeom>
                  </pic:spPr>
                </pic:pic>
              </a:graphicData>
            </a:graphic>
          </wp:anchor>
        </w:drawing>
      </w:r>
    </w:p>
    <w:p>
      <w:pPr>
        <w:pStyle w:val="0 Block"/>
      </w:pPr>
    </w:p>
    <w:p>
      <w:bookmarkStart w:id="49" w:name="Chapter_2_9"/>
      <w:pPr>
        <w:pStyle w:val="Heading 1"/>
        <w:pageBreakBefore w:val="on"/>
      </w:pPr>
      <w:r>
        <w:t>Chapter 2</w:t>
      </w:r>
      <w:bookmarkEnd w:id="4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36800" cy="2781300"/>
            <wp:effectExtent l="0" r="0" t="0" b="0"/>
            <wp:wrapTopAndBottom/>
            <wp:docPr id="97" name="index-46_1.png" descr="index-46_1.png"/>
            <wp:cNvGraphicFramePr>
              <a:graphicFrameLocks noChangeAspect="1"/>
            </wp:cNvGraphicFramePr>
            <a:graphic>
              <a:graphicData uri="http://schemas.openxmlformats.org/drawingml/2006/picture">
                <pic:pic>
                  <pic:nvPicPr>
                    <pic:cNvPr id="0" name="index-46_1.png" descr="index-46_1.png"/>
                    <pic:cNvPicPr/>
                  </pic:nvPicPr>
                  <pic:blipFill>
                    <a:blip r:embed="rId101"/>
                    <a:stretch>
                      <a:fillRect/>
                    </a:stretch>
                  </pic:blipFill>
                  <pic:spPr>
                    <a:xfrm>
                      <a:off x="0" y="0"/>
                      <a:ext cx="2336800" cy="2781300"/>
                    </a:xfrm>
                    <a:prstGeom prst="rect">
                      <a:avLst/>
                    </a:prstGeom>
                  </pic:spPr>
                </pic:pic>
              </a:graphicData>
            </a:graphic>
          </wp:anchor>
        </w:drawing>
      </w:r>
    </w:p>
    <w:p>
      <w:pPr>
        <w:pStyle w:val="Para 25"/>
      </w:pPr>
      <w:r>
        <w:t/>
      </w:r>
    </w:p>
    <w:p>
      <w:pPr>
        <w:pStyle w:val="Para 31"/>
      </w:pPr>
      <w:r>
        <w:t xml:space="preserve"> </w:t>
      </w:r>
    </w:p>
    <w:p>
      <w:pPr>
        <w:pStyle w:val="Para 25"/>
      </w:pPr>
      <w:r>
        <w:t/>
      </w:r>
    </w:p>
    <w:p>
      <w:pPr>
        <w:pStyle w:val="Para 10"/>
      </w:pPr>
      <w:r>
        <w:t>Figure 2.4: The Windows Disk Cleanup utility.</w:t>
      </w:r>
    </w:p>
    <w:p>
      <w:pPr>
        <w:pStyle w:val="Para 25"/>
      </w:pPr>
      <w:r>
        <w:t/>
      </w:r>
    </w:p>
    <w:p>
      <w:pPr>
        <w:pStyle w:val="Para 12"/>
      </w:pPr>
      <w:r>
        <w:t xml:space="preserve">Staging a Deployment </w:t>
      </w:r>
    </w:p>
    <w:p>
      <w:pPr>
        <w:pStyle w:val="Para 25"/>
      </w:pPr>
      <w:r>
        <w:t/>
      </w:r>
    </w:p>
    <w:p>
      <w:pPr>
        <w:pStyle w:val="Normal"/>
      </w:pPr>
      <w:r>
        <w:t xml:space="preserve">It is a common and effective process to establish a staging area for the installation and initial </w:t>
      </w:r>
    </w:p>
    <w:p>
      <w:pPr>
        <w:pStyle w:val="Normal"/>
      </w:pPr>
      <w:r>
        <w:t xml:space="preserve">configuration of new systems. Often an area is set aside to power up computers, apply an image </w:t>
      </w:r>
    </w:p>
    <w:p>
      <w:pPr>
        <w:pStyle w:val="Normal"/>
      </w:pPr>
      <w:r>
        <w:t xml:space="preserve">via a local network switch or CD-ROM, and pile them up for distribution. </w:t>
      </w:r>
    </w:p>
    <w:p>
      <w:pPr>
        <w:pStyle w:val="Para 25"/>
      </w:pPr>
      <w:r>
        <w:t/>
      </w:r>
    </w:p>
    <w:p>
      <w:pPr>
        <w:pStyle w:val="Para 07"/>
      </w:pPr>
      <w:r>
        <w:t xml:space="preserve">Benefits </w:t>
      </w:r>
    </w:p>
    <w:p>
      <w:pPr>
        <w:pStyle w:val="Normal"/>
      </w:pPr>
      <w:r>
        <w:t xml:space="preserve">As with many OS deployment considerations, the benefits of putting together a staging area for a </w:t>
      </w:r>
    </w:p>
    <w:p>
      <w:pPr>
        <w:pStyle w:val="Normal"/>
      </w:pPr>
      <w:r>
        <w:t xml:space="preserve">deployment will depend on your organization. The following sections explore a few of the </w:t>
      </w:r>
    </w:p>
    <w:p>
      <w:pPr>
        <w:pStyle w:val="Normal"/>
      </w:pPr>
      <w:r>
        <w:t xml:space="preserve">common benefits to such a process. </w:t>
      </w:r>
    </w:p>
    <w:p>
      <w:pPr>
        <w:pStyle w:val="Para 25"/>
      </w:pPr>
      <w:r>
        <w:t/>
      </w:r>
    </w:p>
    <w:p>
      <w:pPr>
        <w:pStyle w:val="Para 09"/>
      </w:pPr>
      <w:r>
        <w:t xml:space="preserve">Less Time Spent at the Users’ Desks </w:t>
      </w:r>
    </w:p>
    <w:p>
      <w:pPr>
        <w:pStyle w:val="Para 25"/>
      </w:pPr>
      <w:r>
        <w:t/>
      </w:r>
    </w:p>
    <w:p>
      <w:pPr>
        <w:pStyle w:val="Normal"/>
      </w:pPr>
      <w:r>
        <w:t xml:space="preserve">Having a staging area for your deployment will mean less time spent at users’ desks. When you </w:t>
      </w:r>
    </w:p>
    <w:p>
      <w:pPr>
        <w:pStyle w:val="Normal"/>
      </w:pPr>
      <w:r>
        <w:t xml:space="preserve">ask users to stand aside while you give them their new (or at least different) computer system, </w:t>
      </w:r>
    </w:p>
    <w:p>
      <w:pPr>
        <w:pStyle w:val="Normal"/>
      </w:pPr>
      <w:r>
        <w:t xml:space="preserve">the less time you take the better. The faster you are, the faster you can be on to the next system and the faster the user can be back in business. In the end, the users are your customers, and </w:t>
      </w:r>
    </w:p>
    <w:p>
      <w:pPr>
        <w:pStyle w:val="Normal"/>
      </w:pPr>
      <w:r>
        <w:t xml:space="preserve">speed is something they will be impressed with and will result in greater productivity.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98" name="index-46_2.png" descr="index-46_2.png"/>
            <wp:cNvGraphicFramePr>
              <a:graphicFrameLocks noChangeAspect="1"/>
            </wp:cNvGraphicFramePr>
            <a:graphic>
              <a:graphicData uri="http://schemas.openxmlformats.org/drawingml/2006/picture">
                <pic:pic>
                  <pic:nvPicPr>
                    <pic:cNvPr id="0" name="index-46_2.png" descr="index-46_2.png"/>
                    <pic:cNvPicPr/>
                  </pic:nvPicPr>
                  <pic:blipFill>
                    <a:blip r:embed="rId10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99" name="index-46_3.png" descr="index-46_3.png"/>
            <wp:cNvGraphicFramePr>
              <a:graphicFrameLocks noChangeAspect="1"/>
            </wp:cNvGraphicFramePr>
            <a:graphic>
              <a:graphicData uri="http://schemas.openxmlformats.org/drawingml/2006/picture">
                <pic:pic>
                  <pic:nvPicPr>
                    <pic:cNvPr id="0" name="index-46_3.png" descr="index-46_3.png"/>
                    <pic:cNvPicPr/>
                  </pic:nvPicPr>
                  <pic:blipFill>
                    <a:blip r:embed="rId103"/>
                    <a:stretch>
                      <a:fillRect/>
                    </a:stretch>
                  </pic:blipFill>
                  <pic:spPr>
                    <a:xfrm>
                      <a:off x="0" y="0"/>
                      <a:ext cx="914400" cy="444500"/>
                    </a:xfrm>
                    <a:prstGeom prst="rect">
                      <a:avLst/>
                    </a:prstGeom>
                  </pic:spPr>
                </pic:pic>
              </a:graphicData>
            </a:graphic>
          </wp:anchor>
        </w:drawing>
      </w:r>
    </w:p>
    <w:p>
      <w:pPr>
        <w:pStyle w:val="0 Block"/>
      </w:pPr>
    </w:p>
    <w:p>
      <w:bookmarkStart w:id="50" w:name="Chapter_2_10"/>
      <w:pPr>
        <w:pStyle w:val="Heading 1"/>
        <w:pageBreakBefore w:val="on"/>
      </w:pPr>
      <w:r>
        <w:t>Chapter 2</w:t>
      </w:r>
      <w:bookmarkEnd w:id="50"/>
    </w:p>
    <w:p>
      <w:pPr>
        <w:pStyle w:val="Para 25"/>
      </w:pPr>
      <w:r>
        <w:t/>
      </w:r>
    </w:p>
    <w:p>
      <w:pPr>
        <w:pStyle w:val="Para 09"/>
      </w:pPr>
      <w:r>
        <w:t xml:space="preserve">Controlled Network Environment </w:t>
      </w:r>
    </w:p>
    <w:p>
      <w:pPr>
        <w:pStyle w:val="Para 25"/>
      </w:pPr>
      <w:r>
        <w:t/>
      </w:r>
    </w:p>
    <w:p>
      <w:pPr>
        <w:pStyle w:val="Normal"/>
      </w:pPr>
      <w:r>
        <w:t xml:space="preserve">When a network installation (imaged or unattended) is being performed, network speed will be a </w:t>
      </w:r>
    </w:p>
    <w:p>
      <w:pPr>
        <w:pStyle w:val="Normal"/>
      </w:pPr>
      <w:r>
        <w:t xml:space="preserve">critical factor in the amount of time each system will take. In the setup of a staging area, you are in a better position to optimize network topology in your favor. </w:t>
      </w:r>
    </w:p>
    <w:p>
      <w:pPr>
        <w:pStyle w:val="Para 25"/>
      </w:pPr>
      <w:r>
        <w:t/>
      </w:r>
    </w:p>
    <w:p>
      <w:pPr>
        <w:pStyle w:val="Normal"/>
      </w:pPr>
      <w:r>
        <w:t xml:space="preserve">Most imaging software supports multicast network distribution in which one data stream is </w:t>
      </w:r>
    </w:p>
    <w:p>
      <w:pPr>
        <w:pStyle w:val="Normal"/>
      </w:pPr>
      <w:r>
        <w:t xml:space="preserve">received by multiple clients simultaneously. Figure 2.5 illustrates a typical data transfer in which individual streams go to all systems. </w:t>
      </w:r>
    </w:p>
    <w:p>
      <w:pPr>
        <w:pStyle w:val="Para 25"/>
      </w:pPr>
      <w:r>
        <w:t/>
      </w:r>
    </w:p>
    <w:p>
      <w:pPr>
        <w:pStyle w:val="Para 28"/>
      </w:pPr>
      <w:r>
        <w:t xml:space="preserve"> </w:t>
      </w:r>
    </w:p>
    <w:p>
      <w:pPr>
        <w:pStyle w:val="Para 25"/>
      </w:pPr>
      <w:r>
        <w:t/>
      </w:r>
    </w:p>
    <w:p>
      <w:pPr>
        <w:pStyle w:val="Para 10"/>
      </w:pPr>
      <w:r>
        <w:t xml:space="preserve">Figure 2.5: Typical data transfer (individual streams to all systems). </w:t>
      </w:r>
    </w:p>
    <w:p>
      <w:pPr>
        <w:pStyle w:val="Para 25"/>
      </w:pPr>
      <w:r>
        <w:t/>
      </w:r>
    </w:p>
    <w:p>
      <w:pPr>
        <w:pStyle w:val="Normal"/>
      </w:pPr>
      <w:r>
        <w:t xml:space="preserve">As Figure 2.6 shows, multicast is much easier on the network and the server as compared with managing multiple data streams. Although not all network environments support this technology, </w:t>
      </w:r>
    </w:p>
    <w:p>
      <w:pPr>
        <w:pStyle w:val="Normal"/>
      </w:pPr>
      <w:r>
        <w:t xml:space="preserve">in a lab environment obtaining and configuring support for multicast should be a much easier </w:t>
      </w:r>
    </w:p>
    <w:p>
      <w:pPr>
        <w:pStyle w:val="Normal"/>
      </w:pPr>
      <w:r>
        <w:t xml:space="preserve">implementation. Lack of support is normally in the form of outdated or improperly configured </w:t>
      </w:r>
    </w:p>
    <w:p>
      <w:pPr>
        <w:pStyle w:val="Normal"/>
      </w:pPr>
      <w:r>
        <w:t xml:space="preserve">routers, which might require extensive purchases or configuration changes that would make this technology a challenge to implement network-wide. Imaging 10 computers from the same source </w:t>
      </w:r>
    </w:p>
    <w:p>
      <w:pPr>
        <w:pStyle w:val="Normal"/>
      </w:pPr>
      <w:r>
        <w:t xml:space="preserve">will prove a considerable advantage over the congestion that comes with 10 individual data </w:t>
      </w:r>
    </w:p>
    <w:p>
      <w:pPr>
        <w:pStyle w:val="Normal"/>
      </w:pPr>
      <w:r>
        <w:t xml:space="preserve">streams (all fighting against one another for bandwidth). </w:t>
      </w:r>
    </w:p>
    <w:p>
      <w:pPr>
        <w:pStyle w:val="Para 25"/>
      </w:pPr>
      <w:r>
        <w:t/>
      </w:r>
    </w:p>
    <w:p>
      <w:pPr>
        <w:pStyle w:val="Para 24"/>
      </w:pPr>
      <w:r>
        <w:t xml:space="preserve"> </w:t>
      </w:r>
    </w:p>
    <w:p>
      <w:pPr>
        <w:pStyle w:val="Para 25"/>
      </w:pPr>
      <w:r>
        <w:t/>
      </w:r>
    </w:p>
    <w:p>
      <w:pPr>
        <w:pStyle w:val="Para 10"/>
      </w:pPr>
      <w:r>
        <w:t xml:space="preserve">Figure 2.6: Multicast data transfer (single stream to all systems). </w:t>
      </w:r>
    </w:p>
    <w:p>
      <w:pPr>
        <w:pStyle w:val="Para 25"/>
      </w:pPr>
      <w:r>
        <w:t/>
      </w:r>
    </w:p>
    <w:p>
      <w:pPr>
        <w:pStyle w:val="Para 09"/>
      </w:pPr>
      <w:r>
        <w:t xml:space="preserve">Early Identification of Failed Systems </w:t>
      </w:r>
    </w:p>
    <w:p>
      <w:pPr>
        <w:pStyle w:val="Para 25"/>
      </w:pPr>
      <w:r>
        <w:t/>
      </w:r>
    </w:p>
    <w:p>
      <w:pPr>
        <w:pStyle w:val="Normal"/>
      </w:pPr>
      <w:r>
        <w:t xml:space="preserve">If you purchase 10 computers will they all work? One hundred? One thousand? It is safe to </w:t>
      </w:r>
    </w:p>
    <w:p>
      <w:pPr>
        <w:pStyle w:val="Normal"/>
      </w:pPr>
      <w:r>
        <w:t xml:space="preserve">assume that through manufacturing, parts, and shipping (or while you’re taking it out of its box) </w:t>
      </w:r>
    </w:p>
    <w:p>
      <w:pPr>
        <w:pStyle w:val="Normal"/>
      </w:pPr>
      <w:r>
        <w:t xml:space="preserve">things are going to be broken. It is much more desirable for everyone involved if these systems are identified and addressed in a staging area before you carry them through the building and </w:t>
      </w:r>
    </w:p>
    <w:p>
      <w:pPr>
        <w:pStyle w:val="Normal"/>
      </w:pPr>
      <w:r>
        <w:t xml:space="preserve">plugging them in at someone’s desk.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00" name="index-47_1.png" descr="index-47_1.png"/>
            <wp:cNvGraphicFramePr>
              <a:graphicFrameLocks noChangeAspect="1"/>
            </wp:cNvGraphicFramePr>
            <a:graphic>
              <a:graphicData uri="http://schemas.openxmlformats.org/drawingml/2006/picture">
                <pic:pic>
                  <pic:nvPicPr>
                    <pic:cNvPr id="0" name="index-47_1.png" descr="index-47_1.png"/>
                    <pic:cNvPicPr/>
                  </pic:nvPicPr>
                  <pic:blipFill>
                    <a:blip r:embed="rId10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01" name="index-47_2.png" descr="index-47_2.png"/>
            <wp:cNvGraphicFramePr>
              <a:graphicFrameLocks noChangeAspect="1"/>
            </wp:cNvGraphicFramePr>
            <a:graphic>
              <a:graphicData uri="http://schemas.openxmlformats.org/drawingml/2006/picture">
                <pic:pic>
                  <pic:nvPicPr>
                    <pic:cNvPr id="0" name="index-47_2.png" descr="index-47_2.png"/>
                    <pic:cNvPicPr/>
                  </pic:nvPicPr>
                  <pic:blipFill>
                    <a:blip r:embed="rId105"/>
                    <a:stretch>
                      <a:fillRect/>
                    </a:stretch>
                  </pic:blipFill>
                  <pic:spPr>
                    <a:xfrm>
                      <a:off x="0" y="0"/>
                      <a:ext cx="914400" cy="444500"/>
                    </a:xfrm>
                    <a:prstGeom prst="rect">
                      <a:avLst/>
                    </a:prstGeom>
                  </pic:spPr>
                </pic:pic>
              </a:graphicData>
            </a:graphic>
          </wp:anchor>
        </w:drawing>
      </w:r>
    </w:p>
    <w:p>
      <w:pPr>
        <w:pStyle w:val="0 Block"/>
      </w:pPr>
    </w:p>
    <w:p>
      <w:bookmarkStart w:id="51" w:name="Chapter_2_11"/>
      <w:pPr>
        <w:pStyle w:val="Heading 1"/>
        <w:pageBreakBefore w:val="on"/>
      </w:pPr>
      <w:r>
        <w:t>Chapter 2</w:t>
      </w:r>
      <w:bookmarkEnd w:id="51"/>
    </w:p>
    <w:p>
      <w:pPr>
        <w:pStyle w:val="Para 25"/>
      </w:pPr>
      <w:r>
        <w:t/>
      </w:r>
    </w:p>
    <w:p>
      <w:pPr>
        <w:pStyle w:val="Para 07"/>
      </w:pPr>
      <w:r>
        <w:t xml:space="preserve">Drawbacks </w:t>
      </w:r>
    </w:p>
    <w:p>
      <w:pPr>
        <w:pStyle w:val="Normal"/>
      </w:pPr>
      <w:r>
        <w:t xml:space="preserve">In some environments, a staged deployment simply might not be an option. Your own </w:t>
      </w:r>
    </w:p>
    <w:p>
      <w:pPr>
        <w:pStyle w:val="Normal"/>
      </w:pPr>
      <w:r>
        <w:t xml:space="preserve">organization’s reasons might be unique; the following sections discuss a couple of reasons that </w:t>
      </w:r>
    </w:p>
    <w:p>
      <w:pPr>
        <w:pStyle w:val="Normal"/>
      </w:pPr>
      <w:r>
        <w:t xml:space="preserve">staging might not be a good idea. </w:t>
      </w:r>
    </w:p>
    <w:p>
      <w:pPr>
        <w:pStyle w:val="Para 25"/>
      </w:pPr>
      <w:r>
        <w:t/>
      </w:r>
    </w:p>
    <w:p>
      <w:pPr>
        <w:pStyle w:val="Para 09"/>
      </w:pPr>
      <w:r>
        <w:t xml:space="preserve">Location-Specific Actions </w:t>
      </w:r>
    </w:p>
    <w:p>
      <w:pPr>
        <w:pStyle w:val="Para 25"/>
      </w:pPr>
      <w:r>
        <w:t/>
      </w:r>
    </w:p>
    <w:p>
      <w:pPr>
        <w:pStyle w:val="Normal"/>
      </w:pPr>
      <w:r>
        <w:t xml:space="preserve">Custom scripts or client/server applications in use on your network might perform automatic </w:t>
      </w:r>
    </w:p>
    <w:p>
      <w:pPr>
        <w:pStyle w:val="Normal"/>
      </w:pPr>
      <w:r>
        <w:t xml:space="preserve">actions based on location. In many cases, you can “fool” the system into thinking it is at its final </w:t>
      </w:r>
    </w:p>
    <w:p>
      <w:pPr>
        <w:pStyle w:val="Normal"/>
      </w:pPr>
      <w:r>
        <w:t xml:space="preserve">location for staging if such actions are based on the name you give it, computer group membership, or organizational unit (OU) membership. However, when the network subnet is a </w:t>
      </w:r>
    </w:p>
    <w:p>
      <w:pPr>
        <w:pStyle w:val="Normal"/>
      </w:pPr>
      <w:r>
        <w:t xml:space="preserve">deciding factor, there may be nothing you can do. </w:t>
      </w:r>
    </w:p>
    <w:p>
      <w:pPr>
        <w:pStyle w:val="Para 25"/>
      </w:pPr>
      <w:r>
        <w:t/>
      </w:r>
    </w:p>
    <w:p>
      <w:pPr>
        <w:pStyle w:val="Para 09"/>
      </w:pPr>
      <w:r>
        <w:t xml:space="preserve">Slow Delivery in a Changing Environment </w:t>
      </w:r>
    </w:p>
    <w:p>
      <w:pPr>
        <w:pStyle w:val="Para 25"/>
      </w:pPr>
      <w:r>
        <w:t/>
      </w:r>
    </w:p>
    <w:p>
      <w:pPr>
        <w:pStyle w:val="Normal"/>
      </w:pPr>
      <w:r>
        <w:t xml:space="preserve">In a deployment staging area, workstations might sit unused as active computers receive </w:t>
      </w:r>
    </w:p>
    <w:p>
      <w:pPr>
        <w:pStyle w:val="Normal"/>
      </w:pPr>
      <w:r>
        <w:t xml:space="preserve">network-wide changes. If you control the rate at which new machines are prepared for </w:t>
      </w:r>
    </w:p>
    <w:p>
      <w:pPr>
        <w:pStyle w:val="Normal"/>
      </w:pPr>
      <w:r>
        <w:t xml:space="preserve">deployment, this kind of problem might be minimized. Depending upon your deployment </w:t>
      </w:r>
    </w:p>
    <w:p>
      <w:pPr>
        <w:pStyle w:val="Normal"/>
      </w:pPr>
      <w:r>
        <w:t xml:space="preserve">mechanisms, the systems might simply update themselves when connected to the network. In this case, the issue may be less critical. However, the time of the deployment might still be a </w:t>
      </w:r>
    </w:p>
    <w:p>
      <w:pPr>
        <w:pStyle w:val="Normal"/>
      </w:pPr>
      <w:r>
        <w:t xml:space="preserve">factor while you wait for the new updates to be applied. </w:t>
      </w:r>
    </w:p>
    <w:p>
      <w:pPr>
        <w:pStyle w:val="Para 25"/>
      </w:pPr>
      <w:r>
        <w:t/>
      </w:r>
    </w:p>
    <w:p>
      <w:pPr>
        <w:pStyle w:val="Para 12"/>
      </w:pPr>
      <w:r>
        <w:t xml:space="preserve">Deployment Methods </w:t>
      </w:r>
    </w:p>
    <w:p>
      <w:pPr>
        <w:pStyle w:val="Para 25"/>
      </w:pPr>
      <w:r>
        <w:t/>
      </w:r>
    </w:p>
    <w:p>
      <w:pPr>
        <w:pStyle w:val="Normal"/>
      </w:pPr>
      <w:r>
        <w:t xml:space="preserve">There are several deployment methods available; which one is best for you will depend greatly on your budget, size of the deployment, and the skill sets of the deployment team. Much of what </w:t>
      </w:r>
    </w:p>
    <w:p>
      <w:pPr>
        <w:pStyle w:val="Normal"/>
      </w:pPr>
      <w:r>
        <w:t xml:space="preserve">we have covered applies to the more common mass deployment methods of imaging and drive </w:t>
      </w:r>
    </w:p>
    <w:p>
      <w:pPr>
        <w:pStyle w:val="Normal"/>
      </w:pPr>
      <w:r>
        <w:t xml:space="preserve">duplication. In the following sections, I will describe the common methods used and summarize </w:t>
      </w:r>
    </w:p>
    <w:p>
      <w:pPr>
        <w:pStyle w:val="Normal"/>
      </w:pPr>
      <w:r>
        <w:t xml:space="preserve">the benefits and drawbacks of each. </w:t>
      </w:r>
    </w:p>
    <w:p>
      <w:pPr>
        <w:pStyle w:val="Para 25"/>
      </w:pPr>
      <w:r>
        <w:t/>
      </w:r>
    </w:p>
    <w:p>
      <w:pPr>
        <w:pStyle w:val="Para 07"/>
      </w:pPr>
      <w:r>
        <w:t xml:space="preserve">Manual Installation </w:t>
      </w:r>
    </w:p>
    <w:p>
      <w:pPr>
        <w:pStyle w:val="Normal"/>
      </w:pPr>
      <w:r>
        <w:t xml:space="preserve">For those with only a handful of systems to set up, a manual installation is still a common way to </w:t>
      </w:r>
    </w:p>
    <w:p>
      <w:pPr>
        <w:pStyle w:val="Normal"/>
      </w:pPr>
      <w:r>
        <w:t xml:space="preserve">go. However, more and more organizations have implemented more robust means of deploying </w:t>
      </w:r>
    </w:p>
    <w:p>
      <w:pPr>
        <w:pStyle w:val="Normal"/>
      </w:pPr>
      <w:r>
        <w:t xml:space="preserve">systems that are faster and more consistent even when considering very few workstations. Every </w:t>
      </w:r>
    </w:p>
    <w:p>
      <w:pPr>
        <w:pStyle w:val="Normal"/>
      </w:pPr>
      <w:r>
        <w:t xml:space="preserve">method has its up side, and manual installations are no exception: </w:t>
      </w:r>
    </w:p>
    <w:p>
      <w:pPr>
        <w:pStyle w:val="Para 25"/>
      </w:pPr>
      <w:r>
        <w:t/>
      </w:r>
    </w:p>
    <w:p>
      <w:pPr>
        <w:pStyle w:val="Para 04"/>
      </w:pPr>
      <w:r>
        <w:t xml:space="preserve">• </w:t>
        <w:t xml:space="preserve">GUID uniqueness—Accidental inclusion of GUIDs or other machine-specific items need </w:t>
      </w:r>
    </w:p>
    <w:p>
      <w:pPr>
        <w:pStyle w:val="Para 01"/>
      </w:pPr>
      <w:r>
        <w:t xml:space="preserve">not be a concern when performing a manual installation. After all, this was how the </w:t>
      </w:r>
    </w:p>
    <w:p>
      <w:pPr>
        <w:pStyle w:val="Para 01"/>
      </w:pPr>
      <w:r>
        <w:t xml:space="preserve">vendor intended the deployment to be performed. </w:t>
      </w:r>
    </w:p>
    <w:p>
      <w:pPr>
        <w:pStyle w:val="Para 25"/>
      </w:pPr>
      <w:r>
        <w:t/>
      </w:r>
    </w:p>
    <w:p>
      <w:pPr>
        <w:pStyle w:val="Para 04"/>
      </w:pPr>
      <w:r>
        <w:t xml:space="preserve">• </w:t>
        <w:t xml:space="preserve">Customize to individual needs—Also a negative aspect of manual installations, the ability </w:t>
      </w:r>
    </w:p>
    <w:p>
      <w:pPr>
        <w:pStyle w:val="Para 01"/>
      </w:pPr>
      <w:r>
        <w:t xml:space="preserve">to customize the installation on the fly is easiest when a manual installation is being performed. If the user has a peripheral that you did not plan on or if there is a software </w:t>
      </w:r>
    </w:p>
    <w:p>
      <w:pPr>
        <w:pStyle w:val="Para 01"/>
      </w:pPr>
      <w:r>
        <w:t xml:space="preserve">package that must be installed prior to those in your baseline process, a manual process </w:t>
      </w:r>
    </w:p>
    <w:p>
      <w:pPr>
        <w:pStyle w:val="Para 01"/>
      </w:pPr>
      <w:r>
        <w:t xml:space="preserve">will allow for handling these situations with the least difficulty.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02" name="index-48_1.png" descr="index-48_1.png"/>
            <wp:cNvGraphicFramePr>
              <a:graphicFrameLocks noChangeAspect="1"/>
            </wp:cNvGraphicFramePr>
            <a:graphic>
              <a:graphicData uri="http://schemas.openxmlformats.org/drawingml/2006/picture">
                <pic:pic>
                  <pic:nvPicPr>
                    <pic:cNvPr id="0" name="index-48_1.png" descr="index-48_1.png"/>
                    <pic:cNvPicPr/>
                  </pic:nvPicPr>
                  <pic:blipFill>
                    <a:blip r:embed="rId10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03" name="index-48_2.png" descr="index-48_2.png"/>
            <wp:cNvGraphicFramePr>
              <a:graphicFrameLocks noChangeAspect="1"/>
            </wp:cNvGraphicFramePr>
            <a:graphic>
              <a:graphicData uri="http://schemas.openxmlformats.org/drawingml/2006/picture">
                <pic:pic>
                  <pic:nvPicPr>
                    <pic:cNvPr id="0" name="index-48_2.png" descr="index-48_2.png"/>
                    <pic:cNvPicPr/>
                  </pic:nvPicPr>
                  <pic:blipFill>
                    <a:blip r:embed="rId107"/>
                    <a:stretch>
                      <a:fillRect/>
                    </a:stretch>
                  </pic:blipFill>
                  <pic:spPr>
                    <a:xfrm>
                      <a:off x="0" y="0"/>
                      <a:ext cx="914400" cy="444500"/>
                    </a:xfrm>
                    <a:prstGeom prst="rect">
                      <a:avLst/>
                    </a:prstGeom>
                  </pic:spPr>
                </pic:pic>
              </a:graphicData>
            </a:graphic>
          </wp:anchor>
        </w:drawing>
      </w:r>
    </w:p>
    <w:p>
      <w:pPr>
        <w:pStyle w:val="0 Block"/>
      </w:pPr>
    </w:p>
    <w:p>
      <w:bookmarkStart w:id="52" w:name="Chapter_2_12"/>
      <w:pPr>
        <w:pStyle w:val="Heading 1"/>
        <w:pageBreakBefore w:val="on"/>
      </w:pPr>
      <w:r>
        <w:t>Chapter 2</w:t>
      </w:r>
      <w:bookmarkEnd w:id="52"/>
    </w:p>
    <w:p>
      <w:pPr>
        <w:pStyle w:val="Para 25"/>
      </w:pPr>
      <w:r>
        <w:t/>
      </w:r>
    </w:p>
    <w:p>
      <w:pPr>
        <w:pStyle w:val="Para 04"/>
      </w:pPr>
      <w:r>
        <w:t xml:space="preserve">• </w:t>
        <w:t xml:space="preserve">Hardware installations supported as designed—PnP operations, loading of the appropriate </w:t>
      </w:r>
    </w:p>
    <w:p>
      <w:pPr>
        <w:pStyle w:val="Para 01"/>
      </w:pPr>
      <w:r>
        <w:t xml:space="preserve">hardware abstraction layer (HAL), and legacy driver detection and installation are all </w:t>
      </w:r>
    </w:p>
    <w:p>
      <w:pPr>
        <w:pStyle w:val="Para 01"/>
      </w:pPr>
      <w:r>
        <w:t xml:space="preserve">designed to take place dynamically during the installation process. Therefore, both </w:t>
      </w:r>
    </w:p>
    <w:p>
      <w:pPr>
        <w:pStyle w:val="Para 01"/>
      </w:pPr>
      <w:r>
        <w:t xml:space="preserve">manual and unattended installations enjoy the increased success that comes with performing an installation as it was intended to take place. This support can be a </w:t>
      </w:r>
    </w:p>
    <w:p>
      <w:pPr>
        <w:pStyle w:val="Para 01"/>
      </w:pPr>
      <w:r>
        <w:t xml:space="preserve">significant obstacle for imaging and drive duplication implementations. </w:t>
      </w:r>
    </w:p>
    <w:p>
      <w:pPr>
        <w:pStyle w:val="Para 25"/>
      </w:pPr>
      <w:r>
        <w:t/>
      </w:r>
    </w:p>
    <w:p>
      <w:pPr>
        <w:pStyle w:val="Para 04"/>
      </w:pPr>
      <w:r>
        <w:t xml:space="preserve">• Windows upgrades—When upgrading Windows to a newer version, manual and </w:t>
      </w:r>
    </w:p>
    <w:p>
      <w:pPr>
        <w:pStyle w:val="Para 01"/>
      </w:pPr>
      <w:r>
        <w:t xml:space="preserve">unattended installations are the only methods that will allow you to take advantage of an in-place upgrade. Testing is naturally very important here, but the primary benefit of an </w:t>
      </w:r>
    </w:p>
    <w:p>
      <w:pPr>
        <w:pStyle w:val="Para 01"/>
      </w:pPr>
      <w:r>
        <w:t xml:space="preserve">in-place upgrade is that most applications, data, and settings can be preserved. Of course, </w:t>
      </w:r>
    </w:p>
    <w:p>
      <w:pPr>
        <w:pStyle w:val="Para 01"/>
      </w:pPr>
      <w:r>
        <w:t xml:space="preserve">any existing problems with the system might also be preserved, but if this is not a concern, an upgrade may be the way to go. </w:t>
      </w:r>
    </w:p>
    <w:p>
      <w:pPr>
        <w:pStyle w:val="Para 25"/>
      </w:pPr>
      <w:r>
        <w:t/>
      </w:r>
    </w:p>
    <w:p>
      <w:pPr>
        <w:pStyle w:val="Normal"/>
      </w:pPr>
      <w:r>
        <w:t xml:space="preserve">There are a few drawbacks to performing installations manually, some of which are quite </w:t>
      </w:r>
    </w:p>
    <w:p>
      <w:pPr>
        <w:pStyle w:val="Normal"/>
      </w:pPr>
      <w:r>
        <w:t xml:space="preserve">obvious: </w:t>
      </w:r>
    </w:p>
    <w:p>
      <w:pPr>
        <w:pStyle w:val="Para 25"/>
      </w:pPr>
      <w:r>
        <w:t/>
      </w:r>
    </w:p>
    <w:p>
      <w:pPr>
        <w:pStyle w:val="Para 04"/>
      </w:pPr>
      <w:r>
        <w:t xml:space="preserve">• </w:t>
        <w:t xml:space="preserve">Inconsistency—A key reason to avoid manual installation of systems, and applications </w:t>
      </w:r>
    </w:p>
    <w:p>
      <w:pPr>
        <w:pStyle w:val="Para 01"/>
      </w:pPr>
      <w:r>
        <w:t xml:space="preserve">for that matter, is that the process becomes susceptible to human error and inconsistencies. All the benefits of a tested, planned, consistent baseline discussed earlier </w:t>
      </w:r>
    </w:p>
    <w:p>
      <w:pPr>
        <w:pStyle w:val="Para 01"/>
      </w:pPr>
      <w:r>
        <w:t xml:space="preserve">are at risk when manual installations are being performed. </w:t>
      </w:r>
    </w:p>
    <w:p>
      <w:pPr>
        <w:pStyle w:val="Para 25"/>
      </w:pPr>
      <w:r>
        <w:t/>
      </w:r>
    </w:p>
    <w:p>
      <w:pPr>
        <w:pStyle w:val="Para 04"/>
      </w:pPr>
      <w:r>
        <w:t xml:space="preserve">• </w:t>
        <w:t xml:space="preserve">Slow installation times—Among the options available, a manual installation is also the </w:t>
      </w:r>
    </w:p>
    <w:p>
      <w:pPr>
        <w:pStyle w:val="Para 01"/>
      </w:pPr>
      <w:r>
        <w:t xml:space="preserve">slowest way to go. Even when an administrator is very proficient at installing the baseline configuration, nobody can compete with the speed of an unattended script. </w:t>
      </w:r>
    </w:p>
    <w:p>
      <w:pPr>
        <w:pStyle w:val="Para 25"/>
      </w:pPr>
      <w:r>
        <w:t/>
      </w:r>
    </w:p>
    <w:p>
      <w:pPr>
        <w:pStyle w:val="Para 04"/>
      </w:pPr>
      <w:r>
        <w:t xml:space="preserve">• Multiple reboots—You will have to manually perform multiple reboots, particularly </w:t>
      </w:r>
    </w:p>
    <w:p>
      <w:pPr>
        <w:pStyle w:val="Para 01"/>
      </w:pPr>
      <w:r>
        <w:t xml:space="preserve">when considering the installation of other baseline software outside the installation of </w:t>
      </w:r>
    </w:p>
    <w:p>
      <w:pPr>
        <w:pStyle w:val="Para 01"/>
      </w:pPr>
      <w:r>
        <w:t xml:space="preserve">Windows itself. Internet Explorer is well known by administrators to be a real challenge for unattended deployment primarily due to its requirement for a reboot along with a </w:t>
      </w:r>
    </w:p>
    <w:p>
      <w:pPr>
        <w:pStyle w:val="Para 01"/>
      </w:pPr>
      <w:r>
        <w:t xml:space="preserve">second logon by an administrative account. Windows service packs and hotfixes require </w:t>
      </w:r>
    </w:p>
    <w:p>
      <w:pPr>
        <w:pStyle w:val="Para 01"/>
      </w:pPr>
      <w:r>
        <w:t xml:space="preserve">reboots as well. </w:t>
      </w:r>
    </w:p>
    <w:p>
      <w:pPr>
        <w:pStyle w:val="Para 25"/>
      </w:pPr>
      <w:r>
        <w:t/>
      </w:r>
    </w:p>
    <w:p>
      <w:pPr>
        <w:pStyle w:val="Para 02"/>
      </w:pPr>
      <w:r>
        <w:t xml:space="preserve">Microsoft has instituted a directive in its logo certification program that requires vendors to avoid the </w:t>
      </w:r>
    </w:p>
    <w:p>
      <w:pPr>
        <w:pStyle w:val="Para 02"/>
      </w:pPr>
      <w:r>
        <w:t xml:space="preserve">need to require a reboot of the computer. Far too many situations have surfaced in the past in which </w:t>
      </w:r>
    </w:p>
    <w:p>
      <w:pPr>
        <w:pStyle w:val="Para 02"/>
      </w:pPr>
      <w:r>
        <w:t xml:space="preserve">reboots are requested but not really needed. With Win2K (and even more so in Windows XP), there </w:t>
      </w:r>
    </w:p>
    <w:p>
      <w:pPr>
        <w:pStyle w:val="Para 02"/>
      </w:pPr>
      <w:r>
        <w:t xml:space="preserve">are far fewer events that require a system restart. Those events that still require a restart might </w:t>
      </w:r>
    </w:p>
    <w:p>
      <w:pPr>
        <w:pStyle w:val="Para 02"/>
      </w:pPr>
      <w:r>
        <w:t xml:space="preserve">present alternative ways of getting the job done, which eliminates the need to reboot. What all this </w:t>
      </w:r>
    </w:p>
    <w:p>
      <w:pPr>
        <w:pStyle w:val="Para 02"/>
      </w:pPr>
      <w:r>
        <w:t xml:space="preserve">means to us as administrators is that with any luck, we will see far less prompts for a restart today </w:t>
      </w:r>
    </w:p>
    <w:p>
      <w:pPr>
        <w:pStyle w:val="Para 02"/>
      </w:pPr>
      <w:r>
        <w:t xml:space="preserve">and in the coming years. </w:t>
      </w:r>
    </w:p>
    <w:p>
      <w:pPr>
        <w:pStyle w:val="Para 25"/>
      </w:pPr>
      <w:r>
        <w:t/>
      </w:r>
    </w:p>
    <w:p>
      <w:pPr>
        <w:pStyle w:val="Normal"/>
      </w:pPr>
      <w:r>
        <w:t xml:space="preserve">There are a number of ways to handle a manual installation aside from relying upon the administrator’s familiarity and experience to capturing screen shots of every step. When it comes </w:t>
      </w:r>
    </w:p>
    <w:p>
      <w:pPr>
        <w:pStyle w:val="Normal"/>
      </w:pPr>
      <w:r>
        <w:t xml:space="preserve">to a manual installation, strong documentation is about the only “solution” available to you. </w:t>
      </w:r>
    </w:p>
    <w:p>
      <w:pPr>
        <w:pStyle w:val="Para 25"/>
      </w:pPr>
      <w:r>
        <w:t/>
      </w:r>
    </w:p>
    <w:p>
      <w:pPr>
        <w:pStyle w:val="Normal"/>
      </w:pPr>
      <w:r>
        <w:t xml:space="preserve">Documentation and check lists are critical components of consistent and accurate installations. Although some organizations include detail on every file version, location, and source, others </w:t>
      </w:r>
    </w:p>
    <w:p>
      <w:pPr>
        <w:pStyle w:val="Normal"/>
      </w:pPr>
      <w:r>
        <w:t xml:space="preserve">will simply list the applications to be installed and the order of their installation. Too much detail </w:t>
      </w:r>
    </w:p>
    <w:p>
      <w:pPr>
        <w:pStyle w:val="Normal"/>
      </w:pPr>
      <w:r>
        <w:t xml:space="preserve">might be a necessity for some and an unnecessary waste of time for others, but lack of documentation spells trouble for all. Your own configuration management process will dictate </w:t>
      </w:r>
    </w:p>
    <w:p>
      <w:pPr>
        <w:pStyle w:val="Normal"/>
      </w:pPr>
      <w:r>
        <w:t xml:space="preserve">the level of detail necessary. Keep in mind that staff changes and reassignments affect an </w:t>
      </w:r>
    </w:p>
    <w:p>
      <w:pPr>
        <w:pStyle w:val="Normal"/>
      </w:pPr>
      <w:r>
        <w:t xml:space="preserve">undocumented build process dramatically.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04" name="index-49_1.png" descr="index-49_1.png"/>
            <wp:cNvGraphicFramePr>
              <a:graphicFrameLocks noChangeAspect="1"/>
            </wp:cNvGraphicFramePr>
            <a:graphic>
              <a:graphicData uri="http://schemas.openxmlformats.org/drawingml/2006/picture">
                <pic:pic>
                  <pic:nvPicPr>
                    <pic:cNvPr id="0" name="index-49_1.png" descr="index-49_1.png"/>
                    <pic:cNvPicPr/>
                  </pic:nvPicPr>
                  <pic:blipFill>
                    <a:blip r:embed="rId10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05" name="index-49_2.png" descr="index-49_2.png"/>
            <wp:cNvGraphicFramePr>
              <a:graphicFrameLocks noChangeAspect="1"/>
            </wp:cNvGraphicFramePr>
            <a:graphic>
              <a:graphicData uri="http://schemas.openxmlformats.org/drawingml/2006/picture">
                <pic:pic>
                  <pic:nvPicPr>
                    <pic:cNvPr id="0" name="index-49_2.png" descr="index-49_2.png"/>
                    <pic:cNvPicPr/>
                  </pic:nvPicPr>
                  <pic:blipFill>
                    <a:blip r:embed="rId109"/>
                    <a:stretch>
                      <a:fillRect/>
                    </a:stretch>
                  </pic:blipFill>
                  <pic:spPr>
                    <a:xfrm>
                      <a:off x="0" y="0"/>
                      <a:ext cx="914400" cy="444500"/>
                    </a:xfrm>
                    <a:prstGeom prst="rect">
                      <a:avLst/>
                    </a:prstGeom>
                  </pic:spPr>
                </pic:pic>
              </a:graphicData>
            </a:graphic>
          </wp:anchor>
        </w:drawing>
      </w:r>
    </w:p>
    <w:p>
      <w:pPr>
        <w:pStyle w:val="0 Block"/>
      </w:pPr>
    </w:p>
    <w:p>
      <w:bookmarkStart w:id="53" w:name="Chapter_2_13"/>
      <w:pPr>
        <w:pStyle w:val="Heading 1"/>
        <w:pageBreakBefore w:val="on"/>
      </w:pPr>
      <w:r>
        <w:t>Chapter 2</w:t>
      </w:r>
      <w:bookmarkEnd w:id="53"/>
    </w:p>
    <w:p>
      <w:pPr>
        <w:pStyle w:val="Para 25"/>
      </w:pPr>
      <w:r>
        <w:t/>
      </w:r>
    </w:p>
    <w:p>
      <w:pPr>
        <w:pStyle w:val="Para 07"/>
      </w:pPr>
      <w:r>
        <w:t xml:space="preserve">Unattended Installations </w:t>
      </w:r>
    </w:p>
    <w:p>
      <w:pPr>
        <w:pStyle w:val="Normal"/>
      </w:pPr>
      <w:r>
        <w:t xml:space="preserve">Unattended installations are an improvement over manual installations; the benefits and </w:t>
      </w:r>
    </w:p>
    <w:p>
      <w:pPr>
        <w:pStyle w:val="Normal"/>
      </w:pPr>
      <w:r>
        <w:t xml:space="preserve">drawbacks of this method will be covered in the following section. As with the other methods </w:t>
      </w:r>
    </w:p>
    <w:p>
      <w:pPr>
        <w:pStyle w:val="Normal"/>
      </w:pPr>
      <w:r>
        <w:t xml:space="preserve">available, the benefits of an unattended installation might outweigh those of other methods </w:t>
      </w:r>
    </w:p>
    <w:p>
      <w:pPr>
        <w:pStyle w:val="Normal"/>
      </w:pPr>
      <w:r>
        <w:t xml:space="preserve">depending upon your organization. The following list provides common benefits to unattended installations: </w:t>
      </w:r>
    </w:p>
    <w:p>
      <w:pPr>
        <w:pStyle w:val="Para 25"/>
      </w:pPr>
      <w:r>
        <w:t/>
      </w:r>
    </w:p>
    <w:p>
      <w:pPr>
        <w:pStyle w:val="Para 04"/>
      </w:pPr>
      <w:r>
        <w:t xml:space="preserve">• </w:t>
        <w:t xml:space="preserve">Consistency—A scripted installation is a consistent installation. Removing the human </w:t>
      </w:r>
    </w:p>
    <w:p>
      <w:pPr>
        <w:pStyle w:val="Para 01"/>
      </w:pPr>
      <w:r>
        <w:t xml:space="preserve">element from the equation is certainly a strong benefit of an unattended installation. Even </w:t>
      </w:r>
    </w:p>
    <w:p>
      <w:pPr>
        <w:pStyle w:val="Para 01"/>
      </w:pPr>
      <w:r>
        <w:t xml:space="preserve">if the same individual is setting up every machine on a network using a check list and comprehensive documentation, some degree of deviation (deliberate or accidental) </w:t>
      </w:r>
    </w:p>
    <w:p>
      <w:pPr>
        <w:pStyle w:val="Para 01"/>
      </w:pPr>
      <w:r>
        <w:t xml:space="preserve">becomes inevitable over time. </w:t>
      </w:r>
    </w:p>
    <w:p>
      <w:pPr>
        <w:pStyle w:val="Para 25"/>
      </w:pPr>
      <w:r>
        <w:t/>
      </w:r>
    </w:p>
    <w:p>
      <w:pPr>
        <w:pStyle w:val="Para 04"/>
      </w:pPr>
      <w:r>
        <w:t xml:space="preserve">• </w:t>
        <w:t xml:space="preserve">Speed of installation—An unattended installation might not be as fast as applying an </w:t>
      </w:r>
    </w:p>
    <w:p>
      <w:pPr>
        <w:pStyle w:val="Para 01"/>
      </w:pPr>
      <w:r>
        <w:t xml:space="preserve">image or duplicating a drive, but it is certainly faster than following a manual check list and addressing each element of the installation manually. In an unattended installation, </w:t>
      </w:r>
    </w:p>
    <w:p>
      <w:pPr>
        <w:pStyle w:val="Para 01"/>
      </w:pPr>
      <w:r>
        <w:t xml:space="preserve">many of the options normally presented are not even displayed on the screen. When </w:t>
      </w:r>
    </w:p>
    <w:p>
      <w:pPr>
        <w:pStyle w:val="Para 01"/>
      </w:pPr>
      <w:r>
        <w:t xml:space="preserve">compared with responding to every option as it is displayed, it becomes clear that an unattended installation is far faster than a manual installation. </w:t>
      </w:r>
    </w:p>
    <w:p>
      <w:pPr>
        <w:pStyle w:val="Para 25"/>
      </w:pPr>
      <w:r>
        <w:t/>
      </w:r>
    </w:p>
    <w:p>
      <w:pPr>
        <w:pStyle w:val="Para 04"/>
      </w:pPr>
      <w:r>
        <w:t xml:space="preserve">• Manual input—You can design unattended installations to give administrators the </w:t>
      </w:r>
    </w:p>
    <w:p>
      <w:pPr>
        <w:pStyle w:val="Para 01"/>
      </w:pPr>
      <w:r>
        <w:t xml:space="preserve">flexibility to let users provide input during the installation process. By leaving out certain </w:t>
      </w:r>
    </w:p>
    <w:p>
      <w:pPr>
        <w:pStyle w:val="Para 01"/>
      </w:pPr>
      <w:r>
        <w:t xml:space="preserve">information such as the computer name and product ID, a mini-setup can be utilized that </w:t>
      </w:r>
    </w:p>
    <w:p>
      <w:pPr>
        <w:pStyle w:val="Para 01"/>
      </w:pPr>
      <w:r>
        <w:t xml:space="preserve">prompts for only these items, while the remainder of the installation is automated as you specify. </w:t>
      </w:r>
    </w:p>
    <w:p>
      <w:pPr>
        <w:pStyle w:val="Para 25"/>
      </w:pPr>
      <w:r>
        <w:t/>
      </w:r>
    </w:p>
    <w:p>
      <w:pPr>
        <w:pStyle w:val="Para 04"/>
      </w:pPr>
      <w:r>
        <w:t xml:space="preserve">• </w:t>
        <w:t xml:space="preserve">Cost—Out of the box, Microsoft provides built-in and well-documented methods for </w:t>
      </w:r>
    </w:p>
    <w:p>
      <w:pPr>
        <w:pStyle w:val="Para 01"/>
      </w:pPr>
      <w:r>
        <w:t xml:space="preserve">implementing an unattended installation. We will discuss these options in addition to </w:t>
      </w:r>
    </w:p>
    <w:p>
      <w:pPr>
        <w:pStyle w:val="Para 01"/>
      </w:pPr>
      <w:r>
        <w:t xml:space="preserve">some third-party solutions that aim to improve upon Microsoft’s offerings; however, for many, a Microsoft out-of-box solution can be developed at little or no additional cost.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06" name="index-50_1.png" descr="index-50_1.png"/>
            <wp:cNvGraphicFramePr>
              <a:graphicFrameLocks noChangeAspect="1"/>
            </wp:cNvGraphicFramePr>
            <a:graphic>
              <a:graphicData uri="http://schemas.openxmlformats.org/drawingml/2006/picture">
                <pic:pic>
                  <pic:nvPicPr>
                    <pic:cNvPr id="0" name="index-50_1.png" descr="index-50_1.png"/>
                    <pic:cNvPicPr/>
                  </pic:nvPicPr>
                  <pic:blipFill>
                    <a:blip r:embed="rId11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07" name="index-50_2.png" descr="index-50_2.png"/>
            <wp:cNvGraphicFramePr>
              <a:graphicFrameLocks noChangeAspect="1"/>
            </wp:cNvGraphicFramePr>
            <a:graphic>
              <a:graphicData uri="http://schemas.openxmlformats.org/drawingml/2006/picture">
                <pic:pic>
                  <pic:nvPicPr>
                    <pic:cNvPr id="0" name="index-50_2.png" descr="index-50_2.png"/>
                    <pic:cNvPicPr/>
                  </pic:nvPicPr>
                  <pic:blipFill>
                    <a:blip r:embed="rId111"/>
                    <a:stretch>
                      <a:fillRect/>
                    </a:stretch>
                  </pic:blipFill>
                  <pic:spPr>
                    <a:xfrm>
                      <a:off x="0" y="0"/>
                      <a:ext cx="914400" cy="444500"/>
                    </a:xfrm>
                    <a:prstGeom prst="rect">
                      <a:avLst/>
                    </a:prstGeom>
                  </pic:spPr>
                </pic:pic>
              </a:graphicData>
            </a:graphic>
          </wp:anchor>
        </w:drawing>
      </w:r>
    </w:p>
    <w:p>
      <w:pPr>
        <w:pStyle w:val="0 Block"/>
      </w:pPr>
    </w:p>
    <w:p>
      <w:bookmarkStart w:id="54" w:name="Chapter_2_14"/>
      <w:pPr>
        <w:pStyle w:val="Heading 1"/>
        <w:pageBreakBefore w:val="on"/>
      </w:pPr>
      <w:r>
        <w:t>Chapter 2</w:t>
      </w:r>
      <w:bookmarkEnd w:id="54"/>
    </w:p>
    <w:p>
      <w:pPr>
        <w:pStyle w:val="Para 25"/>
      </w:pPr>
      <w:r>
        <w:t/>
      </w:r>
    </w:p>
    <w:p>
      <w:pPr>
        <w:pStyle w:val="Normal"/>
      </w:pPr>
      <w:r>
        <w:t xml:space="preserve">The following list provides the drawbacks of an unattended installation. Every method has its </w:t>
      </w:r>
    </w:p>
    <w:p>
      <w:pPr>
        <w:pStyle w:val="Normal"/>
      </w:pPr>
      <w:r>
        <w:t xml:space="preserve">benefits and drawbacks; the correct solution lies in what is important to your organization. Here </w:t>
      </w:r>
    </w:p>
    <w:p>
      <w:pPr>
        <w:pStyle w:val="Normal"/>
      </w:pPr>
      <w:r>
        <w:t xml:space="preserve">we will cover some of the drawbacks to unattended installations. </w:t>
      </w:r>
    </w:p>
    <w:p>
      <w:pPr>
        <w:pStyle w:val="Para 25"/>
      </w:pPr>
      <w:r>
        <w:t/>
      </w:r>
    </w:p>
    <w:p>
      <w:pPr>
        <w:pStyle w:val="Para 04"/>
      </w:pPr>
      <w:r>
        <w:t xml:space="preserve">• </w:t>
        <w:t xml:space="preserve">Speed of Installation—While this was also listed as a benefit, it is still considered a strike </w:t>
      </w:r>
    </w:p>
    <w:p>
      <w:pPr>
        <w:pStyle w:val="Para 01"/>
      </w:pPr>
      <w:r>
        <w:t xml:space="preserve">against this method when compared to imaging and drive duplication. Depending upon </w:t>
      </w:r>
    </w:p>
    <w:p>
      <w:pPr>
        <w:pStyle w:val="Para 01"/>
      </w:pPr>
      <w:r>
        <w:t xml:space="preserve">the software to be installed after the operating system, an unattended installation could </w:t>
      </w:r>
    </w:p>
    <w:p>
      <w:pPr>
        <w:pStyle w:val="Para 01"/>
      </w:pPr>
      <w:r>
        <w:t xml:space="preserve">easily take over an hour to complete. The source files and scripts may be stored on a CD (or set of CDs.) The problem may then become the space limitation of just one CD or </w:t>
      </w:r>
    </w:p>
    <w:p>
      <w:pPr>
        <w:pStyle w:val="Para 01"/>
      </w:pPr>
      <w:r>
        <w:t xml:space="preserve">hanging around to insert the next CD. Alternatively, such installations are often handled </w:t>
      </w:r>
    </w:p>
    <w:p>
      <w:pPr>
        <w:pStyle w:val="Para 01"/>
      </w:pPr>
      <w:r>
        <w:t xml:space="preserve">over the network, where limitations may be imposed by network bandwidth. It will also </w:t>
      </w:r>
    </w:p>
    <w:p>
      <w:pPr>
        <w:pStyle w:val="Para 01"/>
      </w:pPr>
      <w:r>
        <w:t xml:space="preserve">be necessary to limit the number of simultaneous installations take place before network saturation brings the file transfer process to a crawl. </w:t>
      </w:r>
    </w:p>
    <w:p>
      <w:pPr>
        <w:pStyle w:val="Para 25"/>
      </w:pPr>
      <w:r>
        <w:t/>
      </w:r>
    </w:p>
    <w:p>
      <w:pPr>
        <w:pStyle w:val="Para 04"/>
      </w:pPr>
      <w:r>
        <w:t xml:space="preserve">• </w:t>
        <w:t xml:space="preserve">Potential Complexity—Depending upon what it is you want to accomplish during your </w:t>
      </w:r>
    </w:p>
    <w:p>
      <w:pPr>
        <w:pStyle w:val="Para 01"/>
      </w:pPr>
      <w:r>
        <w:t xml:space="preserve">unattended installation (application installations, driver installation, reboots, automatic </w:t>
      </w:r>
    </w:p>
    <w:p>
      <w:pPr>
        <w:pStyle w:val="Para 01"/>
      </w:pPr>
      <w:r>
        <w:t xml:space="preserve">logons, etc.) an unattended installation has the potential to grow into quite a complex process. An out of the box installation where Windows is simply installed and waits for a </w:t>
      </w:r>
    </w:p>
    <w:p>
      <w:pPr>
        <w:pStyle w:val="Para 01"/>
      </w:pPr>
      <w:r>
        <w:t xml:space="preserve">logon can be surprisingly easy to accomplish. However, the more you attempt to </w:t>
      </w:r>
    </w:p>
    <w:p>
      <w:pPr>
        <w:pStyle w:val="Para 01"/>
      </w:pPr>
      <w:r>
        <w:t xml:space="preserve">automate, the more complex the entire process will become. The primary problem with a very complex approach is there is more to go wrong and, at the same time, fewer people </w:t>
      </w:r>
    </w:p>
    <w:p>
      <w:pPr>
        <w:pStyle w:val="Para 01"/>
      </w:pPr>
      <w:r>
        <w:t xml:space="preserve">will understand and be able to troubleshoot the process. </w:t>
      </w:r>
    </w:p>
    <w:p>
      <w:pPr>
        <w:pStyle w:val="Para 25"/>
      </w:pPr>
      <w:r>
        <w:t/>
      </w:r>
    </w:p>
    <w:p>
      <w:pPr>
        <w:pStyle w:val="Para 04"/>
      </w:pPr>
      <w:r>
        <w:t xml:space="preserve">• </w:t>
        <w:t xml:space="preserve">Multiple reboots—As with manual installations, multiple reboots can be a problem for </w:t>
      </w:r>
    </w:p>
    <w:p>
      <w:pPr>
        <w:pStyle w:val="Para 01"/>
      </w:pPr>
      <w:r>
        <w:t xml:space="preserve">unattended installations. </w:t>
      </w:r>
    </w:p>
    <w:p>
      <w:pPr>
        <w:pStyle w:val="Para 25"/>
      </w:pPr>
      <w:r>
        <w:t/>
      </w:r>
    </w:p>
    <w:p>
      <w:pPr>
        <w:pStyle w:val="Para 07"/>
      </w:pPr>
      <w:r>
        <w:t xml:space="preserve">Microsoft Solutions </w:t>
      </w:r>
    </w:p>
    <w:p>
      <w:pPr>
        <w:pStyle w:val="Normal"/>
      </w:pPr>
      <w:r>
        <w:t xml:space="preserve">Slow to adopt support for imaging, Microsoft’s preferred method of automated installation has always been unattended installations. To support this perspective, Microsoft has made a handful </w:t>
      </w:r>
    </w:p>
    <w:p>
      <w:pPr>
        <w:pStyle w:val="Normal"/>
      </w:pPr>
      <w:r>
        <w:t xml:space="preserve">of tools available that work together to help you out. We will briefly cover each of these utilities </w:t>
      </w:r>
    </w:p>
    <w:p>
      <w:pPr>
        <w:pStyle w:val="Normal"/>
      </w:pPr>
      <w:r>
        <w:t xml:space="preserve">and processes in the following section. </w:t>
      </w:r>
    </w:p>
    <w:p>
      <w:pPr>
        <w:pStyle w:val="Para 25"/>
      </w:pPr>
      <w:r>
        <w:t/>
      </w:r>
    </w:p>
    <w:p>
      <w:pPr>
        <w:pStyle w:val="Para 09"/>
      </w:pPr>
      <w:r>
        <w:t xml:space="preserve">Sysprep </w:t>
      </w:r>
    </w:p>
    <w:p>
      <w:pPr>
        <w:pStyle w:val="Para 25"/>
      </w:pPr>
      <w:r>
        <w:t/>
      </w:r>
    </w:p>
    <w:p>
      <w:pPr>
        <w:pStyle w:val="Normal"/>
      </w:pPr>
      <w:r>
        <w:t xml:space="preserve">The Sysprep.inf file is used by the Microsoft System Preparation tool (Sysprep) to answer the </w:t>
      </w:r>
    </w:p>
    <w:p>
      <w:pPr>
        <w:pStyle w:val="Normal"/>
      </w:pPr>
      <w:r>
        <w:t xml:space="preserve">questions normally posed in the graphical wizards and prompts presented during the manual </w:t>
      </w:r>
    </w:p>
    <w:p>
      <w:pPr>
        <w:pStyle w:val="Normal"/>
      </w:pPr>
      <w:r>
        <w:t xml:space="preserve">installation of Windows. Sysprep also allows for the clearing of the PnP database, inclusion of additional drivers, and much more. Take advantage of this powerful tool when utilizing any of </w:t>
      </w:r>
    </w:p>
    <w:p>
      <w:pPr>
        <w:pStyle w:val="Normal"/>
      </w:pPr>
      <w:r>
        <w:t xml:space="preserve">the automated methods covered in this chapter. Sysprep offers a host of other configuration </w:t>
      </w:r>
    </w:p>
    <w:p>
      <w:pPr>
        <w:pStyle w:val="Normal"/>
      </w:pPr>
      <w:r>
        <w:t xml:space="preserve">options as the Sysprep.inf file in Listing 2.2 shows.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08" name="index-51_1.png" descr="index-51_1.png"/>
            <wp:cNvGraphicFramePr>
              <a:graphicFrameLocks noChangeAspect="1"/>
            </wp:cNvGraphicFramePr>
            <a:graphic>
              <a:graphicData uri="http://schemas.openxmlformats.org/drawingml/2006/picture">
                <pic:pic>
                  <pic:nvPicPr>
                    <pic:cNvPr id="0" name="index-51_1.png" descr="index-51_1.png"/>
                    <pic:cNvPicPr/>
                  </pic:nvPicPr>
                  <pic:blipFill>
                    <a:blip r:embed="rId11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09" name="index-51_2.png" descr="index-51_2.png"/>
            <wp:cNvGraphicFramePr>
              <a:graphicFrameLocks noChangeAspect="1"/>
            </wp:cNvGraphicFramePr>
            <a:graphic>
              <a:graphicData uri="http://schemas.openxmlformats.org/drawingml/2006/picture">
                <pic:pic>
                  <pic:nvPicPr>
                    <pic:cNvPr id="0" name="index-51_2.png" descr="index-51_2.png"/>
                    <pic:cNvPicPr/>
                  </pic:nvPicPr>
                  <pic:blipFill>
                    <a:blip r:embed="rId113"/>
                    <a:stretch>
                      <a:fillRect/>
                    </a:stretch>
                  </pic:blipFill>
                  <pic:spPr>
                    <a:xfrm>
                      <a:off x="0" y="0"/>
                      <a:ext cx="914400" cy="444500"/>
                    </a:xfrm>
                    <a:prstGeom prst="rect">
                      <a:avLst/>
                    </a:prstGeom>
                  </pic:spPr>
                </pic:pic>
              </a:graphicData>
            </a:graphic>
          </wp:anchor>
        </w:drawing>
      </w:r>
    </w:p>
    <w:p>
      <w:pPr>
        <w:pStyle w:val="0 Block"/>
      </w:pPr>
    </w:p>
    <w:p>
      <w:bookmarkStart w:id="55" w:name="Chapter_2_15"/>
      <w:pPr>
        <w:pStyle w:val="Heading 1"/>
        <w:pageBreakBefore w:val="on"/>
      </w:pPr>
      <w:r>
        <w:t>Chapter 2</w:t>
      </w:r>
      <w:bookmarkEnd w:id="55"/>
    </w:p>
    <w:p>
      <w:pPr>
        <w:pStyle w:val="Para 25"/>
      </w:pPr>
      <w:r>
        <w:t/>
      </w:r>
    </w:p>
    <w:p>
      <w:pPr>
        <w:pStyle w:val="Para 03"/>
      </w:pPr>
      <w:r>
        <w:t xml:space="preserve">[Unattended] </w:t>
      </w:r>
    </w:p>
    <w:p>
      <w:pPr>
        <w:pStyle w:val="Para 03"/>
      </w:pPr>
      <w:r>
        <w:t xml:space="preserve">UnattendMode = FullUnattended </w:t>
      </w:r>
    </w:p>
    <w:p>
      <w:pPr>
        <w:pStyle w:val="Para 03"/>
      </w:pPr>
      <w:r>
        <w:t xml:space="preserve">NoWaitAfterTextMode = 1 </w:t>
      </w:r>
    </w:p>
    <w:p>
      <w:pPr>
        <w:pStyle w:val="Para 03"/>
      </w:pPr>
      <w:r>
        <w:t xml:space="preserve">NoWaitAfterGUIMode = 1 </w:t>
      </w:r>
    </w:p>
    <w:p>
      <w:pPr>
        <w:pStyle w:val="Para 03"/>
      </w:pPr>
      <w:r>
        <w:t xml:space="preserve">OemSkipEula = yes </w:t>
      </w:r>
    </w:p>
    <w:p>
      <w:pPr>
        <w:pStyle w:val="Para 03"/>
      </w:pPr>
      <w:r>
        <w:t xml:space="preserve">InstallFilesPath = "%systemdrive%\Sysprep\i386" </w:t>
        <w:t xml:space="preserve">OemPnPDriversPath = "\Sysprep\drivers" </w:t>
      </w:r>
    </w:p>
    <w:p>
      <w:pPr>
        <w:pStyle w:val="Para 03"/>
      </w:pPr>
      <w:r>
        <w:t xml:space="preserve">ExtendOemPartition = 0 </w:t>
      </w:r>
    </w:p>
    <w:p>
      <w:pPr>
        <w:pStyle w:val="Para 25"/>
      </w:pPr>
      <w:r>
        <w:t/>
      </w:r>
    </w:p>
    <w:p>
      <w:pPr>
        <w:pStyle w:val="Para 03"/>
      </w:pPr>
      <w:r>
        <w:t xml:space="preserve">[GuiUnattended] </w:t>
      </w:r>
    </w:p>
    <w:p>
      <w:pPr>
        <w:pStyle w:val="Para 03"/>
      </w:pPr>
      <w:r>
        <w:t xml:space="preserve">AdminPassword = * </w:t>
      </w:r>
    </w:p>
    <w:p>
      <w:pPr>
        <w:pStyle w:val="Para 03"/>
      </w:pPr>
      <w:r>
        <w:t xml:space="preserve">TimeZone=10 </w:t>
      </w:r>
    </w:p>
    <w:p>
      <w:pPr>
        <w:pStyle w:val="Para 03"/>
      </w:pPr>
      <w:r>
        <w:t xml:space="preserve">OemSkipWelcome = 1 </w:t>
      </w:r>
    </w:p>
    <w:p>
      <w:pPr>
        <w:pStyle w:val="Para 03"/>
      </w:pPr>
      <w:r>
        <w:t xml:space="preserve">OemSkipRegional = 1 </w:t>
      </w:r>
    </w:p>
    <w:p>
      <w:pPr>
        <w:pStyle w:val="Para 25"/>
      </w:pPr>
      <w:r>
        <w:t/>
      </w:r>
    </w:p>
    <w:p>
      <w:pPr>
        <w:pStyle w:val="Para 03"/>
      </w:pPr>
      <w:r>
        <w:t xml:space="preserve">[LicenseFilePrintData] </w:t>
      </w:r>
    </w:p>
    <w:p>
      <w:pPr>
        <w:pStyle w:val="Para 03"/>
      </w:pPr>
      <w:r>
        <w:t xml:space="preserve">AutoMode = "PerServer" </w:t>
      </w:r>
    </w:p>
    <w:p>
      <w:pPr>
        <w:pStyle w:val="Para 03"/>
      </w:pPr>
      <w:r>
        <w:t xml:space="preserve">AutoUsers = "5" </w:t>
      </w:r>
    </w:p>
    <w:p>
      <w:pPr>
        <w:pStyle w:val="Para 25"/>
      </w:pPr>
      <w:r>
        <w:t/>
      </w:r>
    </w:p>
    <w:p>
      <w:pPr>
        <w:pStyle w:val="Para 03"/>
      </w:pPr>
      <w:r>
        <w:t xml:space="preserve">[UserData] </w:t>
      </w:r>
    </w:p>
    <w:p>
      <w:pPr>
        <w:pStyle w:val="Para 03"/>
      </w:pPr>
      <w:r>
        <w:t xml:space="preserve">FullName="FullName" </w:t>
      </w:r>
    </w:p>
    <w:p>
      <w:pPr>
        <w:pStyle w:val="Para 03"/>
      </w:pPr>
      <w:r>
        <w:t xml:space="preserve">OrgName="PC" </w:t>
      </w:r>
    </w:p>
    <w:p>
      <w:pPr>
        <w:pStyle w:val="Para 03"/>
      </w:pPr>
      <w:r>
        <w:t xml:space="preserve">Computername=* </w:t>
      </w:r>
    </w:p>
    <w:p>
      <w:pPr>
        <w:pStyle w:val="Para 25"/>
      </w:pPr>
      <w:r>
        <w:t/>
      </w:r>
    </w:p>
    <w:p>
      <w:pPr>
        <w:pStyle w:val="Para 03"/>
      </w:pPr>
      <w:r>
        <w:t xml:space="preserve">[Networking] </w:t>
      </w:r>
    </w:p>
    <w:p>
      <w:pPr>
        <w:pStyle w:val="Para 03"/>
      </w:pPr>
      <w:r>
        <w:t xml:space="preserve">InstallDefaultComponents = Yes </w:t>
      </w:r>
    </w:p>
    <w:p>
      <w:pPr>
        <w:pStyle w:val="Para 25"/>
      </w:pPr>
      <w:r>
        <w:t/>
      </w:r>
    </w:p>
    <w:p>
      <w:pPr>
        <w:pStyle w:val="Para 10"/>
      </w:pPr>
      <w:r>
        <w:t xml:space="preserve">Listing 2.2: A sample Sysprep.inf file. </w:t>
      </w:r>
    </w:p>
    <w:p>
      <w:pPr>
        <w:pStyle w:val="Para 25"/>
      </w:pPr>
      <w:r>
        <w:t/>
      </w:r>
    </w:p>
    <w:p>
      <w:pPr>
        <w:pStyle w:val="Normal"/>
      </w:pPr>
      <w:r>
        <w:t xml:space="preserve">In Listing 2.2, the asterisk (*) after the computername value results in a random computername </w:t>
      </w:r>
    </w:p>
    <w:p>
      <w:pPr>
        <w:pStyle w:val="Normal"/>
      </w:pPr>
      <w:r>
        <w:t xml:space="preserve">based on the orgname value (for example, PC3149361729). Additionally, the number 1 </w:t>
      </w:r>
    </w:p>
    <w:p>
      <w:pPr>
        <w:pStyle w:val="Normal"/>
      </w:pPr>
      <w:r>
        <w:t xml:space="preserve">represents True for many of the parameters shown in the listing. </w:t>
      </w:r>
    </w:p>
    <w:p>
      <w:pPr>
        <w:pStyle w:val="Para 25"/>
      </w:pPr>
      <w:r>
        <w:t/>
      </w:r>
    </w:p>
    <w:p>
      <w:pPr>
        <w:pStyle w:val="Para 02"/>
      </w:pPr>
      <w:r>
        <w:t xml:space="preserve">Designed for Win2K, a version of Sysprep was made available for NT only to Microsoft Enterprise </w:t>
      </w:r>
    </w:p>
    <w:p>
      <w:pPr>
        <w:pStyle w:val="Para 02"/>
      </w:pPr>
      <w:r>
        <w:t xml:space="preserve">partners. This version of Sysprep provided limited functionality; namely, SID generation. Many </w:t>
      </w:r>
    </w:p>
    <w:p>
      <w:pPr>
        <w:pStyle w:val="Para 02"/>
      </w:pPr>
      <w:r>
        <w:t xml:space="preserve">administrators still think of Sysprep in this limited capacity, but it is a very powerful tool for automated </w:t>
      </w:r>
    </w:p>
    <w:p>
      <w:pPr>
        <w:pStyle w:val="Para 02"/>
      </w:pPr>
      <w:r>
        <w:t xml:space="preserve">deployments of Win2K and Windows XP. You can find Sysprep documentation online at </w:t>
      </w:r>
    </w:p>
    <w:p>
      <w:pPr>
        <w:pStyle w:val="Para 02"/>
      </w:pPr>
      <w:r>
        <w:t xml:space="preserve">http://www.microsoft.com/windows2000/techinfo/planning/incremental/Sysprep11.asp and </w:t>
      </w:r>
    </w:p>
    <w:p>
      <w:pPr>
        <w:pStyle w:val="Para 02"/>
      </w:pPr>
      <w:r>
        <w:t xml:space="preserve">http://www.microsoft.com/windows2000/techinfo/reskit/en-us/deploy/dggb_aut_cwrh.asp. </w:t>
      </w:r>
    </w:p>
    <w:p>
      <w:pPr>
        <w:pStyle w:val="Para 25"/>
      </w:pPr>
      <w:r>
        <w:t/>
      </w:r>
    </w:p>
    <w:p>
      <w:pPr>
        <w:pStyle w:val="Normal"/>
      </w:pPr>
      <w:r>
        <w:t xml:space="preserve">Sysprep can be used to apply an image to dissimilar hardware configurations. Among the items </w:t>
      </w:r>
    </w:p>
    <w:p>
      <w:pPr>
        <w:pStyle w:val="Normal"/>
      </w:pPr>
      <w:r>
        <w:t xml:space="preserve">that need not be the same on target computers are video cards, network adapters, audio cards, </w:t>
      </w:r>
    </w:p>
    <w:p>
      <w:pPr>
        <w:pStyle w:val="Normal"/>
      </w:pPr>
      <w:r>
        <w:t xml:space="preserve">and mass storage device drivers. However, the system HAL and Win2K kernel (Ntoskrnl.exe) must be identical. </w:t>
      </w:r>
    </w:p>
    <w:p>
      <w:pPr>
        <w:pStyle w:val="Para 25"/>
      </w:pPr>
      <w:r>
        <w:t/>
      </w:r>
    </w:p>
    <w:p>
      <w:pPr>
        <w:pStyle w:val="Normal"/>
      </w:pPr>
      <w:r>
        <w:t xml:space="preserve">To use Sysprep, extract the Sysprep.exe and setupcl.exe files from the support.cab file located in </w:t>
      </w:r>
    </w:p>
    <w:p>
      <w:pPr>
        <w:pStyle w:val="Normal"/>
      </w:pPr>
      <w:r>
        <w:t xml:space="preserve">the support/deployment folder of the Win2K and Windows XP installation CD-ROMs. You can download Sysprep from http://www.microsoft.com/windows2000/downloads/tools/Sysprep. </w:t>
      </w:r>
    </w:p>
    <w:p>
      <w:pPr>
        <w:pStyle w:val="Normal"/>
      </w:pPr>
      <w:r>
        <w:t xml:space="preserve">Copy the files to the computer to be imaged and run Sysprep; doing so will configure the </w:t>
      </w:r>
    </w:p>
    <w:p>
      <w:pPr>
        <w:pStyle w:val="Normal"/>
      </w:pPr>
      <w:r>
        <w:t xml:space="preserve">computer to launch a mini-setup at the next startup. What is presented by this mini-setup is determined by the contents of the Sysprep.inf file used by Sysprep to prepare the system for </w:t>
      </w:r>
    </w:p>
    <w:p>
      <w:pPr>
        <w:pStyle w:val="Normal"/>
      </w:pPr>
      <w:r>
        <w:t xml:space="preserve">imaging (for an example, see Listing 2.2). Once the machine shuts down, create your image or </w:t>
      </w:r>
    </w:p>
    <w:p>
      <w:pPr>
        <w:pStyle w:val="Normal"/>
      </w:pPr>
      <w:r>
        <w:t xml:space="preserve">duplicate drives for delivery to other computers.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10" name="index-52_1.png" descr="index-52_1.png"/>
            <wp:cNvGraphicFramePr>
              <a:graphicFrameLocks noChangeAspect="1"/>
            </wp:cNvGraphicFramePr>
            <a:graphic>
              <a:graphicData uri="http://schemas.openxmlformats.org/drawingml/2006/picture">
                <pic:pic>
                  <pic:nvPicPr>
                    <pic:cNvPr id="0" name="index-52_1.png" descr="index-52_1.png"/>
                    <pic:cNvPicPr/>
                  </pic:nvPicPr>
                  <pic:blipFill>
                    <a:blip r:embed="rId11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11" name="index-52_2.png" descr="index-52_2.png"/>
            <wp:cNvGraphicFramePr>
              <a:graphicFrameLocks noChangeAspect="1"/>
            </wp:cNvGraphicFramePr>
            <a:graphic>
              <a:graphicData uri="http://schemas.openxmlformats.org/drawingml/2006/picture">
                <pic:pic>
                  <pic:nvPicPr>
                    <pic:cNvPr id="0" name="index-52_2.png" descr="index-52_2.png"/>
                    <pic:cNvPicPr/>
                  </pic:nvPicPr>
                  <pic:blipFill>
                    <a:blip r:embed="rId115"/>
                    <a:stretch>
                      <a:fillRect/>
                    </a:stretch>
                  </pic:blipFill>
                  <pic:spPr>
                    <a:xfrm>
                      <a:off x="0" y="0"/>
                      <a:ext cx="914400" cy="444500"/>
                    </a:xfrm>
                    <a:prstGeom prst="rect">
                      <a:avLst/>
                    </a:prstGeom>
                  </pic:spPr>
                </pic:pic>
              </a:graphicData>
            </a:graphic>
          </wp:anchor>
        </w:drawing>
      </w:r>
    </w:p>
    <w:p>
      <w:pPr>
        <w:pStyle w:val="0 Block"/>
      </w:pPr>
    </w:p>
    <w:p>
      <w:bookmarkStart w:id="56" w:name="Chapter_2_16"/>
      <w:pPr>
        <w:pStyle w:val="Heading 1"/>
        <w:pageBreakBefore w:val="on"/>
      </w:pPr>
      <w:r>
        <w:t>Chapter 2</w:t>
      </w:r>
      <w:bookmarkEnd w:id="56"/>
    </w:p>
    <w:p>
      <w:pPr>
        <w:pStyle w:val="Para 25"/>
      </w:pPr>
      <w:r>
        <w:t/>
      </w:r>
    </w:p>
    <w:p>
      <w:pPr>
        <w:pStyle w:val="Para 09"/>
      </w:pPr>
      <w:r>
        <w:t xml:space="preserve">Unattend.txt </w:t>
      </w:r>
    </w:p>
    <w:p>
      <w:pPr>
        <w:pStyle w:val="Para 25"/>
      </w:pPr>
      <w:r>
        <w:t/>
      </w:r>
    </w:p>
    <w:p>
      <w:pPr>
        <w:pStyle w:val="Normal"/>
      </w:pPr>
      <w:r>
        <w:t xml:space="preserve">The Unattend.txt file provides answers to the questions typically posed during a manual </w:t>
      </w:r>
    </w:p>
    <w:p>
      <w:pPr>
        <w:pStyle w:val="Normal"/>
      </w:pPr>
      <w:r>
        <w:t xml:space="preserve">installation. For Win2K and later, many think only of the new support for Remote Installation Services (RIS), but these OSs still provide full (and even enhanced) support for use of an </w:t>
      </w:r>
    </w:p>
    <w:p>
      <w:pPr>
        <w:pStyle w:val="Normal"/>
      </w:pPr>
      <w:r>
        <w:t xml:space="preserve">Unattend.txt file. </w:t>
      </w:r>
    </w:p>
    <w:p>
      <w:pPr>
        <w:pStyle w:val="Para 25"/>
      </w:pPr>
      <w:r>
        <w:t/>
      </w:r>
    </w:p>
    <w:p>
      <w:pPr>
        <w:pStyle w:val="Para 02"/>
      </w:pPr>
      <w:r>
        <w:t xml:space="preserve">You can find Unattend.txt file format and available parameters at </w:t>
      </w:r>
    </w:p>
    <w:p>
      <w:pPr>
        <w:pStyle w:val="Para 02"/>
      </w:pPr>
      <w:r>
        <w:t xml:space="preserve">http://support.microsoft.com/?kbid=155197. </w:t>
      </w:r>
    </w:p>
    <w:p>
      <w:pPr>
        <w:pStyle w:val="Para 25"/>
      </w:pPr>
      <w:r>
        <w:t/>
      </w:r>
    </w:p>
    <w:p>
      <w:pPr>
        <w:pStyle w:val="Normal"/>
      </w:pPr>
      <w:r>
        <w:t xml:space="preserve">You need not create the Unattend.txt file from scratch. Along with the Sysprep and RIPrep information files (discussed later), the Setup Manager Wizard is provided to populate this file, as </w:t>
      </w:r>
    </w:p>
    <w:p>
      <w:pPr>
        <w:pStyle w:val="Normal"/>
      </w:pPr>
      <w:r>
        <w:t xml:space="preserve">Figure 2.7 shows. The Setup Manager is included with Sysprep in the deploy.cab file on the </w:t>
      </w:r>
    </w:p>
    <w:p>
      <w:pPr>
        <w:pStyle w:val="Normal"/>
      </w:pPr>
      <w:r>
        <w:t xml:space="preserve">Win2K and Windows XP installation CD-ROMs in the Support folder.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21000" cy="2235200"/>
            <wp:effectExtent l="0" r="0" t="0" b="0"/>
            <wp:wrapTopAndBottom/>
            <wp:docPr id="112" name="index-53_1.png" descr="index-53_1.png"/>
            <wp:cNvGraphicFramePr>
              <a:graphicFrameLocks noChangeAspect="1"/>
            </wp:cNvGraphicFramePr>
            <a:graphic>
              <a:graphicData uri="http://schemas.openxmlformats.org/drawingml/2006/picture">
                <pic:pic>
                  <pic:nvPicPr>
                    <pic:cNvPr id="0" name="index-53_1.png" descr="index-53_1.png"/>
                    <pic:cNvPicPr/>
                  </pic:nvPicPr>
                  <pic:blipFill>
                    <a:blip r:embed="rId116"/>
                    <a:stretch>
                      <a:fillRect/>
                    </a:stretch>
                  </pic:blipFill>
                  <pic:spPr>
                    <a:xfrm>
                      <a:off x="0" y="0"/>
                      <a:ext cx="2921000" cy="22352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2.7: The Setup Manager wizard. </w:t>
      </w:r>
    </w:p>
    <w:p>
      <w:pPr>
        <w:pStyle w:val="Para 25"/>
      </w:pPr>
      <w:r>
        <w:t/>
      </w:r>
    </w:p>
    <w:p>
      <w:pPr>
        <w:pStyle w:val="Para 02"/>
      </w:pPr>
      <w:r>
        <w:t xml:space="preserve">Windows Product Activation (WPA) might look like a process that must be completed manually. </w:t>
      </w:r>
    </w:p>
    <w:p>
      <w:pPr>
        <w:pStyle w:val="Para 02"/>
      </w:pPr>
      <w:r>
        <w:t xml:space="preserve">However, Microsoft has implemented WPA only to deter the casual rollout of installations without the </w:t>
      </w:r>
    </w:p>
    <w:p>
      <w:pPr>
        <w:pStyle w:val="Para 02"/>
      </w:pPr>
      <w:r>
        <w:t xml:space="preserve">licenses to allow it. Microsoft fully supports the automation of this process and provides </w:t>
      </w:r>
    </w:p>
    <w:p>
      <w:pPr>
        <w:pStyle w:val="Para 02"/>
      </w:pPr>
      <w:r>
        <w:t xml:space="preserve">documentation and recommendations for doing so at </w:t>
      </w:r>
    </w:p>
    <w:p>
      <w:pPr>
        <w:pStyle w:val="Para 02"/>
      </w:pPr>
      <w:r>
        <w:t xml:space="preserve">http://www.microsoft.com/windowsxp/pro/techinfo/deployment/activation.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13" name="index-53_2.png" descr="index-53_2.png"/>
            <wp:cNvGraphicFramePr>
              <a:graphicFrameLocks noChangeAspect="1"/>
            </wp:cNvGraphicFramePr>
            <a:graphic>
              <a:graphicData uri="http://schemas.openxmlformats.org/drawingml/2006/picture">
                <pic:pic>
                  <pic:nvPicPr>
                    <pic:cNvPr id="0" name="index-53_2.png" descr="index-53_2.png"/>
                    <pic:cNvPicPr/>
                  </pic:nvPicPr>
                  <pic:blipFill>
                    <a:blip r:embed="rId11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14" name="index-53_3.png" descr="index-53_3.png"/>
            <wp:cNvGraphicFramePr>
              <a:graphicFrameLocks noChangeAspect="1"/>
            </wp:cNvGraphicFramePr>
            <a:graphic>
              <a:graphicData uri="http://schemas.openxmlformats.org/drawingml/2006/picture">
                <pic:pic>
                  <pic:nvPicPr>
                    <pic:cNvPr id="0" name="index-53_3.png" descr="index-53_3.png"/>
                    <pic:cNvPicPr/>
                  </pic:nvPicPr>
                  <pic:blipFill>
                    <a:blip r:embed="rId118"/>
                    <a:stretch>
                      <a:fillRect/>
                    </a:stretch>
                  </pic:blipFill>
                  <pic:spPr>
                    <a:xfrm>
                      <a:off x="0" y="0"/>
                      <a:ext cx="914400" cy="444500"/>
                    </a:xfrm>
                    <a:prstGeom prst="rect">
                      <a:avLst/>
                    </a:prstGeom>
                  </pic:spPr>
                </pic:pic>
              </a:graphicData>
            </a:graphic>
          </wp:anchor>
        </w:drawing>
      </w:r>
    </w:p>
    <w:p>
      <w:pPr>
        <w:pStyle w:val="0 Block"/>
      </w:pPr>
    </w:p>
    <w:p>
      <w:bookmarkStart w:id="57" w:name="Chapter_2_17"/>
      <w:pPr>
        <w:pStyle w:val="Heading 1"/>
        <w:pageBreakBefore w:val="on"/>
      </w:pPr>
      <w:r>
        <w:t>Chapter 2</w:t>
      </w:r>
      <w:bookmarkEnd w:id="57"/>
    </w:p>
    <w:p>
      <w:pPr>
        <w:pStyle w:val="Para 25"/>
      </w:pPr>
      <w:r>
        <w:t/>
      </w:r>
    </w:p>
    <w:p>
      <w:pPr>
        <w:pStyle w:val="Para 09"/>
      </w:pPr>
      <w:r>
        <w:t xml:space="preserve">$OEM$ </w:t>
      </w:r>
    </w:p>
    <w:p>
      <w:pPr>
        <w:pStyle w:val="Para 25"/>
      </w:pPr>
      <w:r>
        <w:t/>
      </w:r>
    </w:p>
    <w:p>
      <w:pPr>
        <w:pStyle w:val="Normal"/>
      </w:pPr>
      <w:r>
        <w:t xml:space="preserve">By setting the OEMPreinstall value to Yes in Unattend.txt, you can include additional files in the </w:t>
      </w:r>
    </w:p>
    <w:p>
      <w:pPr>
        <w:pStyle w:val="Normal"/>
      </w:pPr>
      <w:r>
        <w:t xml:space="preserve">automated installation process. You can employ the $OEM$ directory structure to add to the source files to include additional drivers and even application installation files. The structure for </w:t>
      </w:r>
    </w:p>
    <w:p>
      <w:pPr>
        <w:pStyle w:val="Normal"/>
      </w:pPr>
      <w:r>
        <w:t xml:space="preserve">including these additional files is shown here: </w:t>
      </w:r>
    </w:p>
    <w:p>
      <w:pPr>
        <w:pStyle w:val="Para 25"/>
      </w:pPr>
      <w:r>
        <w:t/>
      </w:r>
    </w:p>
    <w:p>
      <w:pPr>
        <w:pStyle w:val="Para 11"/>
      </w:pPr>
      <w:r>
        <w:t xml:space="preserve"> </w:t>
      </w:r>
    </w:p>
    <w:p>
      <w:pPr>
        <w:pStyle w:val="Para 11"/>
      </w:pPr>
      <w:r>
        <w:t xml:space="preserve"> /i386 </w:t>
      </w:r>
    </w:p>
    <w:p>
      <w:pPr>
        <w:pStyle w:val="Para 11"/>
      </w:pPr>
      <w:r>
        <w:t xml:space="preserve"> /$OEM$ </w:t>
      </w:r>
    </w:p>
    <w:p>
      <w:pPr>
        <w:pStyle w:val="Para 25"/>
      </w:pPr>
      <w:r>
        <w:t/>
      </w:r>
    </w:p>
    <w:p>
      <w:pPr>
        <w:pStyle w:val="Normal"/>
      </w:pPr>
      <w:r>
        <w:t xml:space="preserve">From within the Setup Manager tool, use the Additional Dirs page to supply your own set of files to be deployed. Doing so will generate the previously shown folder structure for the inclusion of </w:t>
      </w:r>
    </w:p>
    <w:p>
      <w:pPr>
        <w:pStyle w:val="Normal"/>
      </w:pPr>
      <w:r>
        <w:t xml:space="preserve">any specified files. For example the files you want placed in the System Drive tree are placed in </w:t>
      </w:r>
    </w:p>
    <w:p>
      <w:pPr>
        <w:pStyle w:val="Normal"/>
      </w:pPr>
      <w:r>
        <w:t xml:space="preserve">$OEM$\$1. Each of the special keys that are displayed on the Additional Dirs page, maps to a </w:t>
      </w:r>
    </w:p>
    <w:p>
      <w:pPr>
        <w:pStyle w:val="Normal"/>
      </w:pPr>
      <w:r>
        <w:t xml:space="preserve">special subdirectory of the $OEM$ file structure. </w:t>
      </w:r>
    </w:p>
    <w:p>
      <w:pPr>
        <w:pStyle w:val="Para 25"/>
      </w:pPr>
      <w:r>
        <w:t/>
      </w:r>
    </w:p>
    <w:p>
      <w:pPr>
        <w:pStyle w:val="Para 02"/>
      </w:pPr>
      <w:r>
        <w:t>Windows is hard-coded to look for the $OEM$ folder below the /i386 directory. Because a CD-ROM–</w:t>
      </w:r>
    </w:p>
    <w:p>
      <w:pPr>
        <w:pStyle w:val="Para 02"/>
      </w:pPr>
      <w:r>
        <w:t xml:space="preserve">based installation copies files to a local temporary directory, the path to $OEM$ might become </w:t>
      </w:r>
    </w:p>
    <w:p>
      <w:pPr>
        <w:pStyle w:val="Para 02"/>
      </w:pPr>
      <w:r>
        <w:t xml:space="preserve">incorrect. For more information about this potential problem, see the Microsoft article “Cannot Obtain </w:t>
      </w:r>
    </w:p>
    <w:p>
      <w:pPr>
        <w:pStyle w:val="Para 02"/>
      </w:pPr>
      <w:r>
        <w:t xml:space="preserve">Access to $oem$ Folder During Unattended Setup.” </w:t>
      </w:r>
    </w:p>
    <w:p>
      <w:pPr>
        <w:pStyle w:val="Para 25"/>
      </w:pPr>
      <w:r>
        <w:t/>
      </w:r>
    </w:p>
    <w:p>
      <w:pPr>
        <w:pStyle w:val="Para 09"/>
      </w:pPr>
      <w:r>
        <w:t xml:space="preserve">Cmdlines.txt </w:t>
      </w:r>
    </w:p>
    <w:p>
      <w:pPr>
        <w:pStyle w:val="Para 25"/>
      </w:pPr>
      <w:r>
        <w:t/>
      </w:r>
    </w:p>
    <w:p>
      <w:pPr>
        <w:pStyle w:val="Normal"/>
      </w:pPr>
      <w:r>
        <w:t xml:space="preserve">You can use the Cmdlines.txt file to specify command lines for execution as part of the setup </w:t>
      </w:r>
    </w:p>
    <w:p>
      <w:pPr>
        <w:pStyle w:val="Normal"/>
      </w:pPr>
      <w:r>
        <w:t>process. Stored in the root of the $OEM$ directory, this file is processed at the end of the mini-</w:t>
      </w:r>
    </w:p>
    <w:p>
      <w:pPr>
        <w:pStyle w:val="Normal"/>
      </w:pPr>
      <w:r>
        <w:t xml:space="preserve">setup wizard before saving any settings. To make use of this capability, the OEMPreinstall option must be enabled in the specified unattended answer file. </w:t>
      </w:r>
    </w:p>
    <w:p>
      <w:pPr>
        <w:pStyle w:val="Para 25"/>
      </w:pPr>
      <w:r>
        <w:t/>
      </w:r>
    </w:p>
    <w:p>
      <w:pPr>
        <w:pStyle w:val="Para 02"/>
      </w:pPr>
      <w:r>
        <w:t xml:space="preserve">For more information about Cmdlines.txt, see the Microsoft article 238955 “HOW TO: Use </w:t>
      </w:r>
    </w:p>
    <w:p>
      <w:pPr>
        <w:pStyle w:val="Para 02"/>
      </w:pPr>
      <w:r>
        <w:t xml:space="preserve">Cmdlines.txt File During Sysprep.exe Setup Wizard.” </w:t>
      </w:r>
    </w:p>
    <w:p>
      <w:pPr>
        <w:pStyle w:val="Para 25"/>
      </w:pPr>
      <w:r>
        <w:t/>
      </w:r>
    </w:p>
    <w:p>
      <w:pPr>
        <w:pStyle w:val="Para 07"/>
      </w:pPr>
      <w:r>
        <w:t xml:space="preserve">Third-Party Solutions </w:t>
      </w:r>
    </w:p>
    <w:p>
      <w:pPr>
        <w:pStyle w:val="Normal"/>
      </w:pPr>
      <w:r>
        <w:t xml:space="preserve">It might seem that Microsoft has deployment tools pretty well covered, but there is always going </w:t>
      </w:r>
    </w:p>
    <w:p>
      <w:pPr>
        <w:pStyle w:val="Normal"/>
      </w:pPr>
      <w:r>
        <w:t xml:space="preserve">to be room for improvement. By integrating the native unattended support into a desktop management product or by introducing support for an alternative means of accomplishing the </w:t>
      </w:r>
    </w:p>
    <w:p>
      <w:pPr>
        <w:pStyle w:val="Normal"/>
      </w:pPr>
      <w:r>
        <w:t xml:space="preserve">task, you have many alternative solutions available. </w:t>
      </w:r>
    </w:p>
    <w:p>
      <w:pPr>
        <w:pStyle w:val="Para 25"/>
      </w:pPr>
      <w:r>
        <w:t/>
      </w:r>
    </w:p>
    <w:p>
      <w:pPr>
        <w:pStyle w:val="Para 04"/>
      </w:pPr>
      <w:r>
        <w:t xml:space="preserve">• </w:t>
        <w:t xml:space="preserve">SystemPrep—Sys-Manage’s SystemPrep is designed for the automated deployment of </w:t>
      </w:r>
    </w:p>
    <w:p>
      <w:pPr>
        <w:pStyle w:val="Para 01"/>
      </w:pPr>
      <w:r>
        <w:t xml:space="preserve">Windows as well as additional software and drivers. This tool facilitates the creation of shares and network boot disks and the customization for the installation of Windows </w:t>
      </w:r>
    </w:p>
    <w:p>
      <w:pPr>
        <w:pStyle w:val="Para 01"/>
      </w:pPr>
      <w:r>
        <w:t xml:space="preserve">releases as early as Windows 95. (Figure 2.8 shows the SystemPrep Configuration </w:t>
      </w:r>
    </w:p>
    <w:p>
      <w:pPr>
        <w:pStyle w:val="Para 01"/>
      </w:pPr>
      <w:r>
        <w:t xml:space="preserve">Wizard interface.)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15" name="index-54_1.png" descr="index-54_1.png"/>
            <wp:cNvGraphicFramePr>
              <a:graphicFrameLocks noChangeAspect="1"/>
            </wp:cNvGraphicFramePr>
            <a:graphic>
              <a:graphicData uri="http://schemas.openxmlformats.org/drawingml/2006/picture">
                <pic:pic>
                  <pic:nvPicPr>
                    <pic:cNvPr id="0" name="index-54_1.png" descr="index-54_1.png"/>
                    <pic:cNvPicPr/>
                  </pic:nvPicPr>
                  <pic:blipFill>
                    <a:blip r:embed="rId11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16" name="index-54_2.png" descr="index-54_2.png"/>
            <wp:cNvGraphicFramePr>
              <a:graphicFrameLocks noChangeAspect="1"/>
            </wp:cNvGraphicFramePr>
            <a:graphic>
              <a:graphicData uri="http://schemas.openxmlformats.org/drawingml/2006/picture">
                <pic:pic>
                  <pic:nvPicPr>
                    <pic:cNvPr id="0" name="index-54_2.png" descr="index-54_2.png"/>
                    <pic:cNvPicPr/>
                  </pic:nvPicPr>
                  <pic:blipFill>
                    <a:blip r:embed="rId120"/>
                    <a:stretch>
                      <a:fillRect/>
                    </a:stretch>
                  </pic:blipFill>
                  <pic:spPr>
                    <a:xfrm>
                      <a:off x="0" y="0"/>
                      <a:ext cx="914400" cy="444500"/>
                    </a:xfrm>
                    <a:prstGeom prst="rect">
                      <a:avLst/>
                    </a:prstGeom>
                  </pic:spPr>
                </pic:pic>
              </a:graphicData>
            </a:graphic>
          </wp:anchor>
        </w:drawing>
      </w:r>
    </w:p>
    <w:p>
      <w:pPr>
        <w:pStyle w:val="0 Block"/>
      </w:pPr>
    </w:p>
    <w:p>
      <w:bookmarkStart w:id="58" w:name="Chapter_2_18"/>
      <w:pPr>
        <w:pStyle w:val="Heading 1"/>
        <w:pageBreakBefore w:val="on"/>
      </w:pPr>
      <w:r>
        <w:t>Chapter 2</w:t>
      </w:r>
      <w:bookmarkEnd w:id="5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47900"/>
            <wp:effectExtent l="0" r="0" t="0" b="0"/>
            <wp:wrapTopAndBottom/>
            <wp:docPr id="117" name="index-55_1.png" descr="index-55_1.png"/>
            <wp:cNvGraphicFramePr>
              <a:graphicFrameLocks noChangeAspect="1"/>
            </wp:cNvGraphicFramePr>
            <a:graphic>
              <a:graphicData uri="http://schemas.openxmlformats.org/drawingml/2006/picture">
                <pic:pic>
                  <pic:nvPicPr>
                    <pic:cNvPr id="0" name="index-55_1.png" descr="index-55_1.png"/>
                    <pic:cNvPicPr/>
                  </pic:nvPicPr>
                  <pic:blipFill>
                    <a:blip r:embed="rId121"/>
                    <a:stretch>
                      <a:fillRect/>
                    </a:stretch>
                  </pic:blipFill>
                  <pic:spPr>
                    <a:xfrm>
                      <a:off x="0" y="0"/>
                      <a:ext cx="3213100" cy="22479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2.8: The SystemPrep 1.1 Configuration Wizard. </w:t>
      </w:r>
    </w:p>
    <w:p>
      <w:pPr>
        <w:pStyle w:val="Para 25"/>
      </w:pPr>
      <w:r>
        <w:t/>
      </w:r>
    </w:p>
    <w:p>
      <w:pPr>
        <w:pStyle w:val="Para 04"/>
      </w:pPr>
      <w:r>
        <w:t xml:space="preserve">• </w:t>
        <w:t xml:space="preserve">CapaInstaller PC Creator—CapaSystems’ CapaInstaller provides a product to simplify </w:t>
      </w:r>
    </w:p>
    <w:p>
      <w:pPr>
        <w:pStyle w:val="Para 01"/>
      </w:pPr>
      <w:r>
        <w:t xml:space="preserve">the process of customizing an unattended Win2K or Windows XP installation by asking </w:t>
      </w:r>
    </w:p>
    <w:p>
      <w:pPr>
        <w:pStyle w:val="Para 01"/>
      </w:pPr>
      <w:r>
        <w:t xml:space="preserve">all the necessary questions and generating a network boot disk to trigger the process. </w:t>
      </w:r>
    </w:p>
    <w:p>
      <w:pPr>
        <w:pStyle w:val="Para 01"/>
      </w:pPr>
      <w:r>
        <w:t xml:space="preserve">CapaInstaller also features a PC configuration tool, a driver library, a hotfix installation </w:t>
      </w:r>
    </w:p>
    <w:p>
      <w:pPr>
        <w:pStyle w:val="Para 01"/>
      </w:pPr>
      <w:r>
        <w:t xml:space="preserve">service, a remote reinstall service, and hardware and software inventory. </w:t>
      </w:r>
    </w:p>
    <w:p>
      <w:pPr>
        <w:pStyle w:val="Para 25"/>
      </w:pPr>
      <w:r>
        <w:t/>
      </w:r>
    </w:p>
    <w:p>
      <w:pPr>
        <w:pStyle w:val="Para 07"/>
      </w:pPr>
      <w:r>
        <w:t xml:space="preserve">Drive Imaging </w:t>
      </w:r>
    </w:p>
    <w:p>
      <w:pPr>
        <w:pStyle w:val="Normal"/>
      </w:pPr>
      <w:r>
        <w:t xml:space="preserve">Drive imaging is one of the most popular methods of OS deployment for several reasons, but </w:t>
      </w:r>
    </w:p>
    <w:p>
      <w:pPr>
        <w:pStyle w:val="Normal"/>
      </w:pPr>
      <w:r>
        <w:t xml:space="preserve">primarily for its speed and simplicity. But both those benefits assume a successful image has </w:t>
      </w:r>
    </w:p>
    <w:p>
      <w:pPr>
        <w:pStyle w:val="Normal"/>
      </w:pPr>
      <w:r>
        <w:t xml:space="preserve">been generated, which can sometimes prove difficult depending on your environment. We will </w:t>
      </w:r>
    </w:p>
    <w:p>
      <w:pPr>
        <w:pStyle w:val="Normal"/>
      </w:pPr>
      <w:r>
        <w:t xml:space="preserve">discuss some of the benefits and drawbacks to imaging in the following section. </w:t>
      </w:r>
    </w:p>
    <w:p>
      <w:pPr>
        <w:pStyle w:val="Para 25"/>
      </w:pPr>
      <w:r>
        <w:t/>
      </w:r>
    </w:p>
    <w:p>
      <w:pPr>
        <w:pStyle w:val="Normal"/>
      </w:pPr>
      <w:r>
        <w:t xml:space="preserve">The benefits of drive imaging include the following items, which have already been discussed: </w:t>
      </w:r>
    </w:p>
    <w:p>
      <w:pPr>
        <w:pStyle w:val="Para 25"/>
      </w:pPr>
      <w:r>
        <w:t/>
      </w:r>
    </w:p>
    <w:p>
      <w:pPr>
        <w:pStyle w:val="Para 04"/>
      </w:pPr>
      <w:r>
        <w:t xml:space="preserve">• </w:t>
        <w:t xml:space="preserve">Speed of installation—An image can be applied from CD-ROM or a high-speed network </w:t>
      </w:r>
    </w:p>
    <w:p>
      <w:pPr>
        <w:pStyle w:val="Para 01"/>
      </w:pPr>
      <w:r>
        <w:t xml:space="preserve">connection in just minutes. Considering this image might also include baseline software </w:t>
      </w:r>
    </w:p>
    <w:p>
      <w:pPr>
        <w:pStyle w:val="Para 01"/>
      </w:pPr>
      <w:r>
        <w:t xml:space="preserve">applications and configurations, speed is a major benefit when compared to other methods available. Factors include the speed of the target system, the method used to </w:t>
      </w:r>
    </w:p>
    <w:p>
      <w:pPr>
        <w:pStyle w:val="Para 01"/>
      </w:pPr>
      <w:r>
        <w:t xml:space="preserve">provide the image to the system (CD-ROM, network, local partition) and the size of the </w:t>
      </w:r>
    </w:p>
    <w:p>
      <w:pPr>
        <w:pStyle w:val="Para 01"/>
      </w:pPr>
      <w:r>
        <w:t xml:space="preserve">image itself. </w:t>
      </w:r>
    </w:p>
    <w:p>
      <w:pPr>
        <w:pStyle w:val="Para 25"/>
      </w:pPr>
      <w:r>
        <w:t/>
      </w:r>
    </w:p>
    <w:p>
      <w:pPr>
        <w:pStyle w:val="Para 04"/>
      </w:pPr>
      <w:r>
        <w:t xml:space="preserve">• </w:t>
        <w:t xml:space="preserve">Consistency—Consistency is a key benefit enjoyed through the imaging process. At least </w:t>
      </w:r>
    </w:p>
    <w:p>
      <w:pPr>
        <w:pStyle w:val="Para 01"/>
      </w:pPr>
      <w:r>
        <w:t xml:space="preserve">until the next reboot, all computers will be binarily identical at the time the image is </w:t>
      </w:r>
    </w:p>
    <w:p>
      <w:pPr>
        <w:pStyle w:val="Para 01"/>
      </w:pPr>
      <w:r>
        <w:t xml:space="preserve">applied. When a well-tested baseline is in use, you have a very solid foundation for your </w:t>
      </w:r>
    </w:p>
    <w:p>
      <w:pPr>
        <w:pStyle w:val="Para 01"/>
      </w:pPr>
      <w:r>
        <w:t xml:space="preserve">new system.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18" name="index-55_2.png" descr="index-55_2.png"/>
            <wp:cNvGraphicFramePr>
              <a:graphicFrameLocks noChangeAspect="1"/>
            </wp:cNvGraphicFramePr>
            <a:graphic>
              <a:graphicData uri="http://schemas.openxmlformats.org/drawingml/2006/picture">
                <pic:pic>
                  <pic:nvPicPr>
                    <pic:cNvPr id="0" name="index-55_2.png" descr="index-55_2.png"/>
                    <pic:cNvPicPr/>
                  </pic:nvPicPr>
                  <pic:blipFill>
                    <a:blip r:embed="rId12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19" name="index-55_3.png" descr="index-55_3.png"/>
            <wp:cNvGraphicFramePr>
              <a:graphicFrameLocks noChangeAspect="1"/>
            </wp:cNvGraphicFramePr>
            <a:graphic>
              <a:graphicData uri="http://schemas.openxmlformats.org/drawingml/2006/picture">
                <pic:pic>
                  <pic:nvPicPr>
                    <pic:cNvPr id="0" name="index-55_3.png" descr="index-55_3.png"/>
                    <pic:cNvPicPr/>
                  </pic:nvPicPr>
                  <pic:blipFill>
                    <a:blip r:embed="rId123"/>
                    <a:stretch>
                      <a:fillRect/>
                    </a:stretch>
                  </pic:blipFill>
                  <pic:spPr>
                    <a:xfrm>
                      <a:off x="0" y="0"/>
                      <a:ext cx="914400" cy="444500"/>
                    </a:xfrm>
                    <a:prstGeom prst="rect">
                      <a:avLst/>
                    </a:prstGeom>
                  </pic:spPr>
                </pic:pic>
              </a:graphicData>
            </a:graphic>
          </wp:anchor>
        </w:drawing>
      </w:r>
    </w:p>
    <w:p>
      <w:pPr>
        <w:pStyle w:val="0 Block"/>
      </w:pPr>
    </w:p>
    <w:p>
      <w:bookmarkStart w:id="59" w:name="Chapter_2_19"/>
      <w:pPr>
        <w:pStyle w:val="Heading 1"/>
        <w:pageBreakBefore w:val="on"/>
      </w:pPr>
      <w:r>
        <w:t>Chapter 2</w:t>
      </w:r>
      <w:bookmarkEnd w:id="59"/>
    </w:p>
    <w:p>
      <w:pPr>
        <w:pStyle w:val="Para 25"/>
      </w:pPr>
      <w:r>
        <w:t/>
      </w:r>
    </w:p>
    <w:p>
      <w:pPr>
        <w:pStyle w:val="Normal"/>
      </w:pPr>
      <w:r>
        <w:t xml:space="preserve">Although a very common means of deploying a large number of systems, imaging has its </w:t>
      </w:r>
    </w:p>
    <w:p>
      <w:pPr>
        <w:pStyle w:val="Normal"/>
      </w:pPr>
      <w:r>
        <w:t xml:space="preserve">drawbacks: </w:t>
      </w:r>
    </w:p>
    <w:p>
      <w:pPr>
        <w:pStyle w:val="Para 25"/>
      </w:pPr>
      <w:r>
        <w:t/>
      </w:r>
    </w:p>
    <w:p>
      <w:pPr>
        <w:pStyle w:val="Para 04"/>
      </w:pPr>
      <w:r>
        <w:t xml:space="preserve">• </w:t>
        <w:t xml:space="preserve">Upgrade is not an option—Imaging constitutes a complete replacement of drive data; </w:t>
      </w:r>
    </w:p>
    <w:p>
      <w:pPr>
        <w:pStyle w:val="Para 01"/>
      </w:pPr>
      <w:r>
        <w:t xml:space="preserve">therefore, utilizing imaging to perform an in-place update is not possible. One can naturally replace the OS with a newer version, but doing so does not constitute an </w:t>
      </w:r>
    </w:p>
    <w:p>
      <w:pPr>
        <w:pStyle w:val="Para 01"/>
      </w:pPr>
      <w:r>
        <w:t xml:space="preserve">upgrade in the traditional sense, in which applications and settings are retained or </w:t>
      </w:r>
    </w:p>
    <w:p>
      <w:pPr>
        <w:pStyle w:val="Para 01"/>
      </w:pPr>
      <w:r>
        <w:t xml:space="preserve">migrated for use on the updated OS. </w:t>
      </w:r>
    </w:p>
    <w:p>
      <w:pPr>
        <w:pStyle w:val="Para 25"/>
      </w:pPr>
      <w:r>
        <w:t/>
      </w:r>
    </w:p>
    <w:p>
      <w:pPr>
        <w:pStyle w:val="Para 04"/>
      </w:pPr>
      <w:r>
        <w:t xml:space="preserve">• </w:t>
        <w:t xml:space="preserve">All user data and settings are lost—To retain user data and settings, you must arrange to </w:t>
      </w:r>
    </w:p>
    <w:p>
      <w:pPr>
        <w:pStyle w:val="Para 01"/>
      </w:pPr>
      <w:r>
        <w:t xml:space="preserve">back up this information prior to the installation, then restore it after the installation. </w:t>
      </w:r>
    </w:p>
    <w:p>
      <w:pPr>
        <w:pStyle w:val="Para 01"/>
      </w:pPr>
      <w:r>
        <w:t xml:space="preserve">Many of the imaging products have addressed this shortcoming of imaging by providing </w:t>
      </w:r>
    </w:p>
    <w:p>
      <w:pPr>
        <w:pStyle w:val="Para 01"/>
      </w:pPr>
      <w:r>
        <w:t xml:space="preserve">tools to automate this process, even going so far as to incorporate it into a single automated deployment event—backup user data and settings, apply new image, apply </w:t>
      </w:r>
    </w:p>
    <w:p>
      <w:pPr>
        <w:pStyle w:val="Para 01"/>
      </w:pPr>
      <w:r>
        <w:t xml:space="preserve">user data and settings. Even with such support, added configuration and planning must be </w:t>
      </w:r>
    </w:p>
    <w:p>
      <w:pPr>
        <w:pStyle w:val="Para 01"/>
      </w:pPr>
      <w:r>
        <w:t xml:space="preserve">applied to the deployment process. </w:t>
      </w:r>
    </w:p>
    <w:p>
      <w:pPr>
        <w:pStyle w:val="Para 25"/>
      </w:pPr>
      <w:r>
        <w:t/>
      </w:r>
    </w:p>
    <w:p>
      <w:pPr>
        <w:pStyle w:val="Para 02"/>
      </w:pPr>
      <w:r>
        <w:t xml:space="preserve">To address this major drawback of imaging (and duplication as well), many of the imaging products </w:t>
      </w:r>
    </w:p>
    <w:p>
      <w:pPr>
        <w:pStyle w:val="Para 02"/>
      </w:pPr>
      <w:r>
        <w:t xml:space="preserve">available either include or have partnered with other companies with products designed to facilitate </w:t>
      </w:r>
    </w:p>
    <w:p>
      <w:pPr>
        <w:pStyle w:val="Para 02"/>
      </w:pPr>
      <w:r>
        <w:t xml:space="preserve">the migration of user data and settings between systems. In many cases, these tools are also able to </w:t>
      </w:r>
    </w:p>
    <w:p>
      <w:pPr>
        <w:pStyle w:val="Para 02"/>
      </w:pPr>
      <w:r>
        <w:t>move between versions of Windows and some cases even support the migration of application-</w:t>
      </w:r>
    </w:p>
    <w:p>
      <w:pPr>
        <w:pStyle w:val="Para 02"/>
      </w:pPr>
      <w:r>
        <w:t xml:space="preserve">specific information and data to newer versions of the application. </w:t>
      </w:r>
    </w:p>
    <w:p>
      <w:pPr>
        <w:pStyle w:val="Para 14"/>
      </w:pPr>
      <w:r>
        <w:t xml:space="preserve"> In addition, migration of user data between systems becomes increasingly less important (if not </w:t>
      </w:r>
    </w:p>
    <w:p>
      <w:pPr>
        <w:pStyle w:val="Para 02"/>
      </w:pPr>
      <w:r>
        <w:t xml:space="preserve">completely unnecessary) if folder redirection is used properly. You can perform folder redirection </w:t>
      </w:r>
    </w:p>
    <w:p>
      <w:pPr>
        <w:pStyle w:val="Para 02"/>
      </w:pPr>
      <w:r>
        <w:t xml:space="preserve">using ScriptLogic, Group Policies, and/or manual registry edits. </w:t>
      </w:r>
    </w:p>
    <w:p>
      <w:pPr>
        <w:pStyle w:val="Para 25"/>
      </w:pPr>
      <w:r>
        <w:t/>
      </w:r>
    </w:p>
    <w:p>
      <w:pPr>
        <w:pStyle w:val="Para 04"/>
      </w:pPr>
      <w:r>
        <w:t xml:space="preserve">• HAL incompatibilities—With the release of Win2K, the number of HAL </w:t>
      </w:r>
    </w:p>
    <w:p>
      <w:pPr>
        <w:pStyle w:val="Para 01"/>
      </w:pPr>
      <w:r>
        <w:t xml:space="preserve">incompatibilities has decreased significantly to just one key potential incompatibility: </w:t>
      </w:r>
    </w:p>
    <w:p>
      <w:pPr>
        <w:pStyle w:val="Para 01"/>
      </w:pPr>
      <w:r>
        <w:t xml:space="preserve">Advanced Configuration and Power Interface (ACPI) and non-ACPI. When an incompatibility is present, the lowest common denominator prevails. Thus, a non-ACPI </w:t>
      </w:r>
    </w:p>
    <w:p>
      <w:pPr>
        <w:pStyle w:val="Para 01"/>
      </w:pPr>
      <w:r>
        <w:t xml:space="preserve">image should (theoretically) work on any ACPI system (but you would lose its ACPI </w:t>
      </w:r>
    </w:p>
    <w:p>
      <w:pPr>
        <w:pStyle w:val="Para 01"/>
      </w:pPr>
      <w:r>
        <w:t xml:space="preserve">support in the process). In practice, though, you may find it is not so easy. Trial and error dictates the number of images you require to support all systems in your organization. </w:t>
      </w:r>
    </w:p>
    <w:p>
      <w:pPr>
        <w:pStyle w:val="Para 01"/>
      </w:pPr>
      <w:r>
        <w:t xml:space="preserve">Despite dissimilar system HALs, you might be able to create an image on one machine </w:t>
      </w:r>
    </w:p>
    <w:p>
      <w:pPr>
        <w:pStyle w:val="Para 01"/>
      </w:pPr>
      <w:r>
        <w:t xml:space="preserve">that applies to several other machines, but an image created of a newer machine is less </w:t>
      </w:r>
    </w:p>
    <w:p>
      <w:pPr>
        <w:pStyle w:val="Para 01"/>
      </w:pPr>
      <w:r>
        <w:t xml:space="preserve">likely to work on older ones. Here especially, the fewer hardware differences in your environment, the easier your life will be. </w:t>
      </w:r>
    </w:p>
    <w:p>
      <w:pPr>
        <w:pStyle w:val="Para 25"/>
      </w:pPr>
      <w:r>
        <w:t/>
      </w:r>
    </w:p>
    <w:p>
      <w:pPr>
        <w:pStyle w:val="Para 02"/>
      </w:pPr>
      <w:r>
        <w:t xml:space="preserve">NT SCSI and IDE drive images present yet another incompatibility that has thankfully been removed </w:t>
      </w:r>
    </w:p>
    <w:p>
      <w:pPr>
        <w:pStyle w:val="Para 02"/>
      </w:pPr>
      <w:r>
        <w:t xml:space="preserve">from the picture with the release of Sysprep 1.1.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20" name="index-56_1.png" descr="index-56_1.png"/>
            <wp:cNvGraphicFramePr>
              <a:graphicFrameLocks noChangeAspect="1"/>
            </wp:cNvGraphicFramePr>
            <a:graphic>
              <a:graphicData uri="http://schemas.openxmlformats.org/drawingml/2006/picture">
                <pic:pic>
                  <pic:nvPicPr>
                    <pic:cNvPr id="0" name="index-56_1.png" descr="index-56_1.png"/>
                    <pic:cNvPicPr/>
                  </pic:nvPicPr>
                  <pic:blipFill>
                    <a:blip r:embed="rId12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21" name="index-56_2.png" descr="index-56_2.png"/>
            <wp:cNvGraphicFramePr>
              <a:graphicFrameLocks noChangeAspect="1"/>
            </wp:cNvGraphicFramePr>
            <a:graphic>
              <a:graphicData uri="http://schemas.openxmlformats.org/drawingml/2006/picture">
                <pic:pic>
                  <pic:nvPicPr>
                    <pic:cNvPr id="0" name="index-56_2.png" descr="index-56_2.png"/>
                    <pic:cNvPicPr/>
                  </pic:nvPicPr>
                  <pic:blipFill>
                    <a:blip r:embed="rId125"/>
                    <a:stretch>
                      <a:fillRect/>
                    </a:stretch>
                  </pic:blipFill>
                  <pic:spPr>
                    <a:xfrm>
                      <a:off x="0" y="0"/>
                      <a:ext cx="914400" cy="444500"/>
                    </a:xfrm>
                    <a:prstGeom prst="rect">
                      <a:avLst/>
                    </a:prstGeom>
                  </pic:spPr>
                </pic:pic>
              </a:graphicData>
            </a:graphic>
          </wp:anchor>
        </w:drawing>
      </w:r>
    </w:p>
    <w:p>
      <w:pPr>
        <w:pStyle w:val="0 Block"/>
      </w:pPr>
    </w:p>
    <w:p>
      <w:bookmarkStart w:id="60" w:name="Chapter_2_20"/>
      <w:pPr>
        <w:pStyle w:val="Heading 1"/>
        <w:pageBreakBefore w:val="on"/>
      </w:pPr>
      <w:r>
        <w:t>Chapter 2</w:t>
      </w:r>
      <w:bookmarkEnd w:id="60"/>
    </w:p>
    <w:p>
      <w:pPr>
        <w:pStyle w:val="Para 25"/>
      </w:pPr>
      <w:r>
        <w:t/>
      </w:r>
    </w:p>
    <w:p>
      <w:pPr>
        <w:pStyle w:val="Para 04"/>
      </w:pPr>
      <w:r>
        <w:t xml:space="preserve">• </w:t>
        <w:t xml:space="preserve">Multi-image management—Dealing with multiple images is a necessary evil for many </w:t>
      </w:r>
    </w:p>
    <w:p>
      <w:pPr>
        <w:pStyle w:val="Para 01"/>
      </w:pPr>
      <w:r>
        <w:t xml:space="preserve">organizations. The desire for multiple baselines and HAL incompatibilities are the core </w:t>
      </w:r>
    </w:p>
    <w:p>
      <w:pPr>
        <w:pStyle w:val="Para 01"/>
      </w:pPr>
      <w:r>
        <w:t xml:space="preserve">reasons that the number of images to be managed may quickly increase. You might find a </w:t>
      </w:r>
    </w:p>
    <w:p>
      <w:pPr>
        <w:pStyle w:val="Para 01"/>
      </w:pPr>
      <w:r>
        <w:t xml:space="preserve">need to update images on a regular basis as new applications and updates are added to the deployed baseline. If your desktop management solution is designed to dynamically </w:t>
      </w:r>
    </w:p>
    <w:p>
      <w:pPr>
        <w:pStyle w:val="Para 01"/>
      </w:pPr>
      <w:r>
        <w:t xml:space="preserve">update the older baseline image after it is applied to a new system, this drawback might </w:t>
      </w:r>
    </w:p>
    <w:p>
      <w:pPr>
        <w:pStyle w:val="Para 01"/>
      </w:pPr>
      <w:r>
        <w:t xml:space="preserve">be less of a concern. However, it is very likely that there will come a time when the existing network baseline and your original deployment image differ to such a degree that </w:t>
      </w:r>
    </w:p>
    <w:p>
      <w:pPr>
        <w:pStyle w:val="Para 01"/>
      </w:pPr>
      <w:r>
        <w:t xml:space="preserve">updating the image becomes necessary. When image updates become necessary, the </w:t>
      </w:r>
    </w:p>
    <w:p>
      <w:pPr>
        <w:pStyle w:val="Para 01"/>
      </w:pPr>
      <w:r>
        <w:t xml:space="preserve">desire for a small number of images becomes evident. </w:t>
      </w:r>
    </w:p>
    <w:p>
      <w:pPr>
        <w:pStyle w:val="Para 25"/>
      </w:pPr>
      <w:r>
        <w:t/>
      </w:r>
    </w:p>
    <w:p>
      <w:pPr>
        <w:pStyle w:val="Para 09"/>
      </w:pPr>
      <w:r>
        <w:t xml:space="preserve">Available Solutions </w:t>
      </w:r>
    </w:p>
    <w:p>
      <w:pPr>
        <w:pStyle w:val="Para 25"/>
      </w:pPr>
      <w:r>
        <w:t/>
      </w:r>
    </w:p>
    <w:p>
      <w:pPr>
        <w:pStyle w:val="Normal"/>
      </w:pPr>
      <w:r>
        <w:t xml:space="preserve">There are a fairly small number of vendors providing imaging software on the market today. </w:t>
      </w:r>
    </w:p>
    <w:p>
      <w:pPr>
        <w:pStyle w:val="Normal"/>
      </w:pPr>
      <w:r>
        <w:t xml:space="preserve">Many of these solutions are briefly discussed in the following section. </w:t>
      </w:r>
    </w:p>
    <w:p>
      <w:pPr>
        <w:pStyle w:val="Para 25"/>
      </w:pPr>
      <w:r>
        <w:t/>
      </w:r>
    </w:p>
    <w:p>
      <w:pPr>
        <w:pStyle w:val="Para 02"/>
      </w:pPr>
      <w:r>
        <w:t xml:space="preserve">An independent review of the imaging products available was performed in 2000, which included a </w:t>
      </w:r>
    </w:p>
    <w:p>
      <w:pPr>
        <w:pStyle w:val="Para 02"/>
      </w:pPr>
      <w:r>
        <w:t xml:space="preserve">comparative matrix of features in several categories. You can find this competitive matrix at </w:t>
      </w:r>
    </w:p>
    <w:p>
      <w:pPr>
        <w:pStyle w:val="Para 02"/>
      </w:pPr>
      <w:r>
        <w:t xml:space="preserve">http://www.appdeploy.com/comparisons/imaging. </w:t>
      </w:r>
    </w:p>
    <w:p>
      <w:pPr>
        <w:pStyle w:val="Para 25"/>
      </w:pPr>
      <w:r>
        <w:t/>
      </w:r>
    </w:p>
    <w:p>
      <w:pPr>
        <w:pStyle w:val="Para 04"/>
      </w:pPr>
      <w:r>
        <w:t xml:space="preserve">• </w:t>
        <w:t xml:space="preserve">Remote Installation Services (RIS)—RIS looks more like an unattended installation when </w:t>
      </w:r>
    </w:p>
    <w:p>
      <w:pPr>
        <w:pStyle w:val="Para 01"/>
      </w:pPr>
      <w:r>
        <w:t xml:space="preserve">you watch it in action, but it is actually a file-based image. Like all of the other imaging solutions available, it can access the network via a network boot disk or PXE (a </w:t>
      </w:r>
    </w:p>
    <w:p>
      <w:pPr>
        <w:pStyle w:val="Para 01"/>
      </w:pPr>
      <w:r>
        <w:t xml:space="preserve">hardware-based network boot). RIS requires Active Directory (AD) and it supports only </w:t>
      </w:r>
    </w:p>
    <w:p>
      <w:pPr>
        <w:pStyle w:val="Para 01"/>
      </w:pPr>
      <w:r>
        <w:t xml:space="preserve">Win2K and Windows XP. In addition, it does not support multicasting, which might eliminate it as an option for many enterprise networks planning for large-scale </w:t>
      </w:r>
    </w:p>
    <w:p>
      <w:pPr>
        <w:pStyle w:val="Para 01"/>
      </w:pPr>
      <w:r>
        <w:t xml:space="preserve">deployments. RIPrep, which Figure 2.9 shows, is a utility provided for the preparation </w:t>
      </w:r>
    </w:p>
    <w:p>
      <w:pPr>
        <w:pStyle w:val="Para 01"/>
      </w:pPr>
      <w:r>
        <w:t xml:space="preserve">and uploading of images for deployment via RIS. </w:t>
      </w:r>
    </w:p>
    <w:p>
      <w:pPr>
        <w:pStyle w:val="Para 25"/>
      </w:pPr>
      <w:r>
        <w:t/>
      </w:r>
    </w:p>
    <w:p>
      <w:pPr>
        <w:pStyle w:val="Para 02"/>
      </w:pPr>
      <w:r>
        <w:t xml:space="preserve">You can find more information about RIS from the following resources: </w:t>
      </w:r>
    </w:p>
    <w:p>
      <w:pPr>
        <w:pStyle w:val="Para 14"/>
      </w:pPr>
      <w:r>
        <w:t xml:space="preserve"> RIS installation and configuration check list </w:t>
      </w:r>
    </w:p>
    <w:p>
      <w:pPr>
        <w:pStyle w:val="Para 02"/>
      </w:pPr>
      <w:r>
        <w:t xml:space="preserve">http://www.microsoft.com/windows2000/en/server/help/sag_RIS_Install_Checklist.htm </w:t>
      </w:r>
    </w:p>
    <w:p>
      <w:pPr>
        <w:pStyle w:val="Para 14"/>
      </w:pPr>
      <w:r>
        <w:t xml:space="preserve"> Technical Guide to Remote Installation Services </w:t>
      </w:r>
    </w:p>
    <w:p>
      <w:pPr>
        <w:pStyle w:val="Para 02"/>
      </w:pPr>
      <w:r>
        <w:t xml:space="preserve">http://www.microsoft.com/technet/prodtechnol/windows2000serv/deploy/depopt/remosad.asp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22" name="index-57_1.png" descr="index-57_1.png"/>
            <wp:cNvGraphicFramePr>
              <a:graphicFrameLocks noChangeAspect="1"/>
            </wp:cNvGraphicFramePr>
            <a:graphic>
              <a:graphicData uri="http://schemas.openxmlformats.org/drawingml/2006/picture">
                <pic:pic>
                  <pic:nvPicPr>
                    <pic:cNvPr id="0" name="index-57_1.png" descr="index-57_1.png"/>
                    <pic:cNvPicPr/>
                  </pic:nvPicPr>
                  <pic:blipFill>
                    <a:blip r:embed="rId12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23" name="index-57_2.png" descr="index-57_2.png"/>
            <wp:cNvGraphicFramePr>
              <a:graphicFrameLocks noChangeAspect="1"/>
            </wp:cNvGraphicFramePr>
            <a:graphic>
              <a:graphicData uri="http://schemas.openxmlformats.org/drawingml/2006/picture">
                <pic:pic>
                  <pic:nvPicPr>
                    <pic:cNvPr id="0" name="index-57_2.png" descr="index-57_2.png"/>
                    <pic:cNvPicPr/>
                  </pic:nvPicPr>
                  <pic:blipFill>
                    <a:blip r:embed="rId127"/>
                    <a:stretch>
                      <a:fillRect/>
                    </a:stretch>
                  </pic:blipFill>
                  <pic:spPr>
                    <a:xfrm>
                      <a:off x="0" y="0"/>
                      <a:ext cx="914400" cy="444500"/>
                    </a:xfrm>
                    <a:prstGeom prst="rect">
                      <a:avLst/>
                    </a:prstGeom>
                  </pic:spPr>
                </pic:pic>
              </a:graphicData>
            </a:graphic>
          </wp:anchor>
        </w:drawing>
      </w:r>
    </w:p>
    <w:p>
      <w:pPr>
        <w:pStyle w:val="0 Block"/>
      </w:pPr>
    </w:p>
    <w:p>
      <w:bookmarkStart w:id="61" w:name="Chapter_2_21"/>
      <w:pPr>
        <w:pStyle w:val="Heading 1"/>
        <w:pageBreakBefore w:val="on"/>
      </w:pPr>
      <w:r>
        <w:t>Chapter 2</w:t>
      </w:r>
      <w:bookmarkEnd w:id="61"/>
    </w:p>
    <w:p>
      <w:pPr>
        <w:pStyle w:val="Para 25"/>
      </w:pPr>
      <w:r>
        <w:t/>
      </w:r>
    </w:p>
    <w:p>
      <w:pPr>
        <w:pStyle w:val="Para 13"/>
      </w:pPr>
      <w:r>
        <w:t xml:space="preserve"> </w:t>
      </w:r>
    </w:p>
    <w:p>
      <w:pPr>
        <w:pStyle w:val="Para 25"/>
      </w:pPr>
      <w:r>
        <w:t/>
      </w:r>
    </w:p>
    <w:p>
      <w:pPr>
        <w:pStyle w:val="Para 10"/>
      </w:pPr>
      <w:r>
        <w:t xml:space="preserve">Figure 2.9: The Remote Installation Preparation Wizard (RIPrep.exe). </w:t>
      </w:r>
    </w:p>
    <w:p>
      <w:pPr>
        <w:pStyle w:val="Para 25"/>
      </w:pPr>
      <w:r>
        <w:t/>
      </w:r>
    </w:p>
    <w:p>
      <w:pPr>
        <w:pStyle w:val="Para 02"/>
      </w:pPr>
      <w:r>
        <w:t xml:space="preserve">You can customize the text menus presented by the RIS installation process. You can edit the menus </w:t>
      </w:r>
    </w:p>
    <w:p>
      <w:pPr>
        <w:pStyle w:val="Para 02"/>
      </w:pPr>
      <w:r>
        <w:t xml:space="preserve">or create them with a simple text editor such as Notepad using the OSCML file format. You can find </w:t>
      </w:r>
    </w:p>
    <w:p>
      <w:pPr>
        <w:pStyle w:val="Para 02"/>
      </w:pPr>
      <w:r>
        <w:t xml:space="preserve">information regarding the modification of these menus as well as its file formatting at </w:t>
      </w:r>
    </w:p>
    <w:p>
      <w:pPr>
        <w:pStyle w:val="Para 02"/>
      </w:pPr>
      <w:r>
        <w:t xml:space="preserve">http://www.microsoft.com/technet/prodtechnol/windows2000serv/reskit/distsys/part5/dsgappg.asp. </w:t>
      </w:r>
    </w:p>
    <w:p>
      <w:pPr>
        <w:pStyle w:val="Para 25"/>
      </w:pPr>
      <w:r>
        <w:t/>
      </w:r>
    </w:p>
    <w:p>
      <w:pPr>
        <w:pStyle w:val="Para 04"/>
      </w:pPr>
      <w:r>
        <w:t xml:space="preserve">• Ghost—In the imaging market, Symantec Ghost is certainly the most well-known </w:t>
      </w:r>
    </w:p>
    <w:p>
      <w:pPr>
        <w:pStyle w:val="Para 01"/>
      </w:pPr>
      <w:r>
        <w:t xml:space="preserve">product. In fact, the term </w:t>
      </w:r>
      <w:r>
        <w:rPr>
          <w:rStyle w:val="Text0"/>
        </w:rPr>
        <w:t>ghosting</w:t>
      </w:r>
      <w:r>
        <w:t xml:space="preserve"> has become synonymous with imaging. Ghost </w:t>
      </w:r>
    </w:p>
    <w:p>
      <w:pPr>
        <w:pStyle w:val="Para 01"/>
      </w:pPr>
      <w:r>
        <w:t xml:space="preserve">provides the ability to image directly to CD-ROM or other removable media. You can </w:t>
      </w:r>
    </w:p>
    <w:p>
      <w:pPr>
        <w:pStyle w:val="Para 01"/>
      </w:pPr>
      <w:r>
        <w:t>use a recordable CD-ROM drive as a place to write an image file to at the time the imaging of a drive is being performed. In addition, Ghost provides USB and LTP peer-to-</w:t>
      </w:r>
    </w:p>
    <w:p>
      <w:pPr>
        <w:pStyle w:val="Para 01"/>
      </w:pPr>
      <w:r>
        <w:t xml:space="preserve">peer imaging support, offers remote deployment of client management service, and is </w:t>
      </w:r>
    </w:p>
    <w:p>
      <w:pPr>
        <w:pStyle w:val="Para 01"/>
      </w:pPr>
      <w:r>
        <w:t xml:space="preserve">very fast when compared with other imaging solutions. </w:t>
      </w:r>
    </w:p>
    <w:p>
      <w:pPr>
        <w:pStyle w:val="Para 25"/>
      </w:pPr>
      <w:r>
        <w:t/>
      </w:r>
    </w:p>
    <w:p>
      <w:pPr>
        <w:pStyle w:val="Para 04"/>
      </w:pPr>
      <w:r>
        <w:t xml:space="preserve">• </w:t>
        <w:t xml:space="preserve">DeployCenter—Formerly Drive Image Pro, PowerQuest’s DeployCenter is another very </w:t>
      </w:r>
    </w:p>
    <w:p>
      <w:pPr>
        <w:pStyle w:val="Para 01"/>
      </w:pPr>
      <w:r>
        <w:t xml:space="preserve">popular imaging tool with plenty of strong features, including PXE and multicast support, </w:t>
      </w:r>
    </w:p>
    <w:p>
      <w:pPr>
        <w:pStyle w:val="Para 01"/>
      </w:pPr>
      <w:r>
        <w:t xml:space="preserve">image direct to removable media (including CD-R), and a Web-based management </w:t>
      </w:r>
    </w:p>
    <w:p>
      <w:pPr>
        <w:pStyle w:val="Para 01"/>
      </w:pPr>
      <w:r>
        <w:t xml:space="preserve">console.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24" name="index-58_1.png" descr="index-58_1.png"/>
            <wp:cNvGraphicFramePr>
              <a:graphicFrameLocks noChangeAspect="1"/>
            </wp:cNvGraphicFramePr>
            <a:graphic>
              <a:graphicData uri="http://schemas.openxmlformats.org/drawingml/2006/picture">
                <pic:pic>
                  <pic:nvPicPr>
                    <pic:cNvPr id="0" name="index-58_1.png" descr="index-58_1.png"/>
                    <pic:cNvPicPr/>
                  </pic:nvPicPr>
                  <pic:blipFill>
                    <a:blip r:embed="rId12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25" name="index-58_2.png" descr="index-58_2.png"/>
            <wp:cNvGraphicFramePr>
              <a:graphicFrameLocks noChangeAspect="1"/>
            </wp:cNvGraphicFramePr>
            <a:graphic>
              <a:graphicData uri="http://schemas.openxmlformats.org/drawingml/2006/picture">
                <pic:pic>
                  <pic:nvPicPr>
                    <pic:cNvPr id="0" name="index-58_2.png" descr="index-58_2.png"/>
                    <pic:cNvPicPr/>
                  </pic:nvPicPr>
                  <pic:blipFill>
                    <a:blip r:embed="rId129"/>
                    <a:stretch>
                      <a:fillRect/>
                    </a:stretch>
                  </pic:blipFill>
                  <pic:spPr>
                    <a:xfrm>
                      <a:off x="0" y="0"/>
                      <a:ext cx="914400" cy="444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03600" cy="0"/>
            <wp:effectExtent l="0" r="0" t="0" b="0"/>
            <wp:wrapTopAndBottom/>
            <wp:docPr id="126" name="index-58_3.png" descr="index-58_3.png"/>
            <wp:cNvGraphicFramePr>
              <a:graphicFrameLocks noChangeAspect="1"/>
            </wp:cNvGraphicFramePr>
            <a:graphic>
              <a:graphicData uri="http://schemas.openxmlformats.org/drawingml/2006/picture">
                <pic:pic>
                  <pic:nvPicPr>
                    <pic:cNvPr id="0" name="index-58_3.png" descr="index-58_3.png"/>
                    <pic:cNvPicPr/>
                  </pic:nvPicPr>
                  <pic:blipFill>
                    <a:blip r:embed="rId130"/>
                    <a:stretch>
                      <a:fillRect/>
                    </a:stretch>
                  </pic:blipFill>
                  <pic:spPr>
                    <a:xfrm>
                      <a:off x="0" y="0"/>
                      <a:ext cx="3403600" cy="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16300" cy="2590800"/>
            <wp:effectExtent l="0" r="0" t="0" b="0"/>
            <wp:wrapTopAndBottom/>
            <wp:docPr id="127" name="index-58_4.png" descr="index-58_4.png"/>
            <wp:cNvGraphicFramePr>
              <a:graphicFrameLocks noChangeAspect="1"/>
            </wp:cNvGraphicFramePr>
            <a:graphic>
              <a:graphicData uri="http://schemas.openxmlformats.org/drawingml/2006/picture">
                <pic:pic>
                  <pic:nvPicPr>
                    <pic:cNvPr id="0" name="index-58_4.png" descr="index-58_4.png"/>
                    <pic:cNvPicPr/>
                  </pic:nvPicPr>
                  <pic:blipFill>
                    <a:blip r:embed="rId131"/>
                    <a:stretch>
                      <a:fillRect/>
                    </a:stretch>
                  </pic:blipFill>
                  <pic:spPr>
                    <a:xfrm>
                      <a:off x="0" y="0"/>
                      <a:ext cx="3416300" cy="2590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03600" cy="0"/>
            <wp:effectExtent l="0" r="0" t="0" b="0"/>
            <wp:wrapTopAndBottom/>
            <wp:docPr id="128" name="index-58_5.png" descr="index-58_5.png"/>
            <wp:cNvGraphicFramePr>
              <a:graphicFrameLocks noChangeAspect="1"/>
            </wp:cNvGraphicFramePr>
            <a:graphic>
              <a:graphicData uri="http://schemas.openxmlformats.org/drawingml/2006/picture">
                <pic:pic>
                  <pic:nvPicPr>
                    <pic:cNvPr id="0" name="index-58_5.png" descr="index-58_5.png"/>
                    <pic:cNvPicPr/>
                  </pic:nvPicPr>
                  <pic:blipFill>
                    <a:blip r:embed="rId132"/>
                    <a:stretch>
                      <a:fillRect/>
                    </a:stretch>
                  </pic:blipFill>
                  <pic:spPr>
                    <a:xfrm>
                      <a:off x="0" y="0"/>
                      <a:ext cx="3403600" cy="0"/>
                    </a:xfrm>
                    <a:prstGeom prst="rect">
                      <a:avLst/>
                    </a:prstGeom>
                  </pic:spPr>
                </pic:pic>
              </a:graphicData>
            </a:graphic>
          </wp:anchor>
        </w:drawing>
      </w:r>
    </w:p>
    <w:p>
      <w:pPr>
        <w:pStyle w:val="0 Block"/>
      </w:pPr>
    </w:p>
    <w:p>
      <w:bookmarkStart w:id="62" w:name="Chapter_2_22"/>
      <w:pPr>
        <w:pStyle w:val="Heading 1"/>
        <w:pageBreakBefore w:val="on"/>
      </w:pPr>
      <w:r>
        <w:t>Chapter 2</w:t>
      </w:r>
      <w:bookmarkEnd w:id="62"/>
    </w:p>
    <w:p>
      <w:pPr>
        <w:pStyle w:val="Para 25"/>
      </w:pPr>
      <w:r>
        <w:t/>
      </w:r>
    </w:p>
    <w:p>
      <w:pPr>
        <w:pStyle w:val="Para 04"/>
      </w:pPr>
      <w:r>
        <w:t xml:space="preserve">• </w:t>
        <w:t xml:space="preserve">RapiDeploy—Altiris has changed the name of its imaging product from ImageBlaster to </w:t>
      </w:r>
    </w:p>
    <w:p>
      <w:pPr>
        <w:pStyle w:val="Para 01"/>
      </w:pPr>
      <w:r>
        <w:t xml:space="preserve">RapiDeploy, and the tool is now available as a component of the company’s desktop </w:t>
      </w:r>
    </w:p>
    <w:p>
      <w:pPr>
        <w:pStyle w:val="Para 01"/>
      </w:pPr>
      <w:r>
        <w:t xml:space="preserve">management suite, Altiris Deployment Solution (formerly eXpress.) Although the name </w:t>
      </w:r>
    </w:p>
    <w:p>
      <w:pPr>
        <w:pStyle w:val="Para 01"/>
      </w:pPr>
      <w:r>
        <w:t xml:space="preserve">changes can be confusing, the product is very intuitive and offers several great features, including complete remote deployment capabilities via its Web-based management </w:t>
      </w:r>
    </w:p>
    <w:p>
      <w:pPr>
        <w:pStyle w:val="Para 01"/>
      </w:pPr>
      <w:r>
        <w:t xml:space="preserve">console, the ability to create an image of a hard drive and simultaneously distribute that </w:t>
      </w:r>
    </w:p>
    <w:p>
      <w:pPr>
        <w:pStyle w:val="Para 01"/>
      </w:pPr>
      <w:r>
        <w:t xml:space="preserve">image to other machines at the same time the image file is being generated, remote deployment of client management service support, and direct editing of compressed </w:t>
      </w:r>
    </w:p>
    <w:p>
      <w:pPr>
        <w:pStyle w:val="Para 01"/>
      </w:pPr>
      <w:r>
        <w:t xml:space="preserve">image files functionality. </w:t>
      </w:r>
    </w:p>
    <w:p>
      <w:pPr>
        <w:pStyle w:val="Para 25"/>
      </w:pPr>
      <w:r>
        <w:t/>
      </w:r>
    </w:p>
    <w:p>
      <w:pPr>
        <w:pStyle w:val="Para 04"/>
      </w:pPr>
      <w:r>
        <w:t xml:space="preserve">• ImageCast—The last release of Phoenix’s ImageCast was 4.6.1; however, it is still </w:t>
      </w:r>
    </w:p>
    <w:p>
      <w:pPr>
        <w:pStyle w:val="Para 01"/>
      </w:pPr>
      <w:r>
        <w:t xml:space="preserve">available in enterprise and manufacturer (MFG) editions. ImageCast’s Post Configuration Injector is used to customize each workstation with its individual settings (such as the </w:t>
      </w:r>
    </w:p>
    <w:p>
      <w:pPr>
        <w:pStyle w:val="Para 01"/>
      </w:pPr>
      <w:r>
        <w:t xml:space="preserve">user name, computer name, and IP address). This tool offers a 100 percent scriptable </w:t>
      </w:r>
    </w:p>
    <w:p>
      <w:pPr>
        <w:pStyle w:val="Para 01"/>
      </w:pPr>
      <w:r>
        <w:t xml:space="preserve">interface as well as the ability to generate restore CD-ROMs with RestoreBuilder. </w:t>
      </w:r>
    </w:p>
    <w:p>
      <w:pPr>
        <w:pStyle w:val="Para 25"/>
      </w:pPr>
      <w:r>
        <w:t/>
      </w:r>
    </w:p>
    <w:p>
      <w:pPr>
        <w:pStyle w:val="Para 04"/>
      </w:pPr>
      <w:r>
        <w:t xml:space="preserve">• </w:t>
        <w:t xml:space="preserve">TrueImage—Acronis is a newcomer to the market; its TrueImage product is geared more </w:t>
      </w:r>
    </w:p>
    <w:p>
      <w:pPr>
        <w:pStyle w:val="Para 01"/>
      </w:pPr>
      <w:r>
        <w:t xml:space="preserve">toward the individual user than an enterprise deployment. However, it is worth mentioning that TrueImage provides the ability to create an image of a machine from </w:t>
      </w:r>
    </w:p>
    <w:p>
      <w:pPr>
        <w:pStyle w:val="Para 01"/>
      </w:pPr>
      <w:r>
        <w:t xml:space="preserve">within Windows (including the system partition), as Figure 2.10 shows.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65500" cy="2616200"/>
            <wp:effectExtent l="0" r="0" t="0" b="0"/>
            <wp:wrapTopAndBottom/>
            <wp:docPr id="129" name="index-59_1.png" descr="index-59_1.png"/>
            <wp:cNvGraphicFramePr>
              <a:graphicFrameLocks noChangeAspect="1"/>
            </wp:cNvGraphicFramePr>
            <a:graphic>
              <a:graphicData uri="http://schemas.openxmlformats.org/drawingml/2006/picture">
                <pic:pic>
                  <pic:nvPicPr>
                    <pic:cNvPr id="0" name="index-59_1.png" descr="index-59_1.png"/>
                    <pic:cNvPicPr/>
                  </pic:nvPicPr>
                  <pic:blipFill>
                    <a:blip r:embed="rId133"/>
                    <a:stretch>
                      <a:fillRect/>
                    </a:stretch>
                  </pic:blipFill>
                  <pic:spPr>
                    <a:xfrm>
                      <a:off x="0" y="0"/>
                      <a:ext cx="3365500" cy="26162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2.10: The TrueImage partition selection dialog box.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30" name="index-59_2.png" descr="index-59_2.png"/>
            <wp:cNvGraphicFramePr>
              <a:graphicFrameLocks noChangeAspect="1"/>
            </wp:cNvGraphicFramePr>
            <a:graphic>
              <a:graphicData uri="http://schemas.openxmlformats.org/drawingml/2006/picture">
                <pic:pic>
                  <pic:nvPicPr>
                    <pic:cNvPr id="0" name="index-59_2.png" descr="index-59_2.png"/>
                    <pic:cNvPicPr/>
                  </pic:nvPicPr>
                  <pic:blipFill>
                    <a:blip r:embed="rId13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31" name="index-59_3.png" descr="index-59_3.png"/>
            <wp:cNvGraphicFramePr>
              <a:graphicFrameLocks noChangeAspect="1"/>
            </wp:cNvGraphicFramePr>
            <a:graphic>
              <a:graphicData uri="http://schemas.openxmlformats.org/drawingml/2006/picture">
                <pic:pic>
                  <pic:nvPicPr>
                    <pic:cNvPr id="0" name="index-59_3.png" descr="index-59_3.png"/>
                    <pic:cNvPicPr/>
                  </pic:nvPicPr>
                  <pic:blipFill>
                    <a:blip r:embed="rId135"/>
                    <a:stretch>
                      <a:fillRect/>
                    </a:stretch>
                  </pic:blipFill>
                  <pic:spPr>
                    <a:xfrm>
                      <a:off x="0" y="0"/>
                      <a:ext cx="914400" cy="444500"/>
                    </a:xfrm>
                    <a:prstGeom prst="rect">
                      <a:avLst/>
                    </a:prstGeom>
                  </pic:spPr>
                </pic:pic>
              </a:graphicData>
            </a:graphic>
          </wp:anchor>
        </w:drawing>
      </w:r>
    </w:p>
    <w:p>
      <w:pPr>
        <w:pStyle w:val="0 Block"/>
      </w:pPr>
    </w:p>
    <w:p>
      <w:bookmarkStart w:id="63" w:name="Chapter_2_23"/>
      <w:pPr>
        <w:pStyle w:val="Heading 1"/>
        <w:pageBreakBefore w:val="on"/>
      </w:pPr>
      <w:r>
        <w:t>Chapter 2</w:t>
      </w:r>
      <w:bookmarkEnd w:id="63"/>
    </w:p>
    <w:p>
      <w:pPr>
        <w:pStyle w:val="Para 25"/>
      </w:pPr>
      <w:r>
        <w:t/>
      </w:r>
    </w:p>
    <w:p>
      <w:pPr>
        <w:pStyle w:val="Para 04"/>
      </w:pPr>
      <w:r>
        <w:t xml:space="preserve">• </w:t>
        <w:t xml:space="preserve">Auto-Deploy—The main purpose of Rembo Auto-Deploy is to deploy an OS on client </w:t>
      </w:r>
    </w:p>
    <w:p>
      <w:pPr>
        <w:pStyle w:val="Para 01"/>
      </w:pPr>
      <w:r>
        <w:t xml:space="preserve">computers by replicating a reference system. The deployment process is driven from a </w:t>
      </w:r>
    </w:p>
    <w:p>
      <w:pPr>
        <w:pStyle w:val="Para 01"/>
      </w:pPr>
      <w:r>
        <w:t xml:space="preserve">central database containing unique parameters for each PC (including the rules that </w:t>
      </w:r>
    </w:p>
    <w:p>
      <w:pPr>
        <w:pStyle w:val="Para 01"/>
      </w:pPr>
      <w:r>
        <w:t xml:space="preserve">decide which images and software are applied to each computer). The deployment process can be fully automated (without interaction on the client computer), but RAD can </w:t>
      </w:r>
    </w:p>
    <w:p>
      <w:pPr>
        <w:pStyle w:val="Para 01"/>
      </w:pPr>
      <w:r>
        <w:t xml:space="preserve">also let the final user choose the OS and the applications to deploy. Report logs are then </w:t>
      </w:r>
    </w:p>
    <w:p>
      <w:pPr>
        <w:pStyle w:val="Para 01"/>
      </w:pPr>
      <w:r>
        <w:t xml:space="preserve">sent to the central console to help the IT administrator control the deployment. </w:t>
      </w:r>
    </w:p>
    <w:p>
      <w:pPr>
        <w:pStyle w:val="Para 25"/>
      </w:pPr>
      <w:r>
        <w:t/>
      </w:r>
    </w:p>
    <w:p>
      <w:pPr>
        <w:pStyle w:val="Para 09"/>
      </w:pPr>
      <w:r>
        <w:t xml:space="preserve">Which Is Right For You? </w:t>
      </w:r>
    </w:p>
    <w:p>
      <w:pPr>
        <w:pStyle w:val="Para 25"/>
      </w:pPr>
      <w:r>
        <w:t/>
      </w:r>
    </w:p>
    <w:p>
      <w:pPr>
        <w:pStyle w:val="Normal"/>
      </w:pPr>
      <w:r>
        <w:t xml:space="preserve">In many cases, the tool you will use is the one that you are most familiar with. For the most part, </w:t>
      </w:r>
    </w:p>
    <w:p>
      <w:pPr>
        <w:pStyle w:val="Normal"/>
      </w:pPr>
      <w:r>
        <w:t xml:space="preserve">imaging software products provide the same feature set. I’ve listed many of the key differences </w:t>
      </w:r>
    </w:p>
    <w:p>
      <w:pPr>
        <w:pStyle w:val="Normal"/>
      </w:pPr>
      <w:r>
        <w:t xml:space="preserve">and standout features, but if you are looking to implement a new solution, do your homework and be sure to get the features that are important to you. Take a look at the features available, </w:t>
      </w:r>
    </w:p>
    <w:p>
      <w:pPr>
        <w:pStyle w:val="Normal"/>
      </w:pPr>
      <w:r>
        <w:t xml:space="preserve">create a requirements document stressing what is important to you, and the right choice for your </w:t>
      </w:r>
    </w:p>
    <w:p>
      <w:pPr>
        <w:pStyle w:val="Normal"/>
      </w:pPr>
      <w:r>
        <w:t xml:space="preserve">organization will become much more clear. </w:t>
      </w:r>
    </w:p>
    <w:p>
      <w:pPr>
        <w:pStyle w:val="Para 25"/>
      </w:pPr>
      <w:r>
        <w:t/>
      </w:r>
    </w:p>
    <w:p>
      <w:pPr>
        <w:pStyle w:val="Para 02"/>
      </w:pPr>
      <w:r>
        <w:t xml:space="preserve">We will discuss application deployment tools in Chapter 4. </w:t>
      </w:r>
    </w:p>
    <w:p>
      <w:pPr>
        <w:pStyle w:val="Para 25"/>
      </w:pPr>
      <w:r>
        <w:t/>
      </w:r>
    </w:p>
    <w:p>
      <w:pPr>
        <w:pStyle w:val="Para 07"/>
      </w:pPr>
      <w:r>
        <w:t xml:space="preserve">Drive Duplication </w:t>
      </w:r>
    </w:p>
    <w:p>
      <w:pPr>
        <w:pStyle w:val="Normal"/>
      </w:pPr>
      <w:r>
        <w:t xml:space="preserve">Drive duplication is the process of copying hard drives from one to another. This method is a </w:t>
      </w:r>
    </w:p>
    <w:p>
      <w:pPr>
        <w:pStyle w:val="Normal"/>
      </w:pPr>
      <w:r>
        <w:t xml:space="preserve">hardware-based solution. The benefits of drive duplication as opposed to the other methods available will depend greatly upon your deployment process. If you want to replace the drive of </w:t>
      </w:r>
    </w:p>
    <w:p>
      <w:pPr>
        <w:pStyle w:val="Normal"/>
      </w:pPr>
      <w:r>
        <w:t xml:space="preserve">existing machines with larger ones, drive duplication will likely become a more desirable </w:t>
      </w:r>
    </w:p>
    <w:p>
      <w:pPr>
        <w:pStyle w:val="Normal"/>
      </w:pPr>
      <w:r>
        <w:t xml:space="preserve">solution when compared with imaging. The following list provides common benefits of drive duplication: </w:t>
      </w:r>
    </w:p>
    <w:p>
      <w:pPr>
        <w:pStyle w:val="Para 25"/>
      </w:pPr>
      <w:r>
        <w:t/>
      </w:r>
    </w:p>
    <w:p>
      <w:pPr>
        <w:pStyle w:val="Para 04"/>
      </w:pPr>
      <w:r>
        <w:t xml:space="preserve">• Ideal for pre-staging scenarios—There might already be a step in your deployment </w:t>
      </w:r>
    </w:p>
    <w:p>
      <w:pPr>
        <w:pStyle w:val="Para 25"/>
      </w:pPr>
      <w:r>
        <w:t xml:space="preserve">process that involves opening the case for the installation or removal of components. </w:t>
      </w:r>
    </w:p>
    <w:p>
      <w:pPr>
        <w:pStyle w:val="Para 25"/>
      </w:pPr>
      <w:r>
        <w:t/>
      </w:r>
    </w:p>
    <w:p>
      <w:pPr>
        <w:pStyle w:val="Para 02"/>
      </w:pPr>
      <w:r>
        <w:t xml:space="preserve">Some environments remove floppy drives or modems for security reasons. Others might need to </w:t>
      </w:r>
    </w:p>
    <w:p>
      <w:pPr>
        <w:pStyle w:val="Para 02"/>
      </w:pPr>
      <w:r>
        <w:t xml:space="preserve">install zip drives or security devices. Even when buying thousands of machines, it is often not cost </w:t>
      </w:r>
    </w:p>
    <w:p>
      <w:pPr>
        <w:pStyle w:val="Para 02"/>
      </w:pPr>
      <w:r>
        <w:t xml:space="preserve">effective to order the machines customized by the manufacturer—even ordering that a part be </w:t>
      </w:r>
    </w:p>
    <w:p>
      <w:pPr>
        <w:pStyle w:val="Para 02"/>
      </w:pPr>
      <w:r>
        <w:t xml:space="preserve">removed from a system will likely result in additional costs because it does not fall in line with the </w:t>
      </w:r>
    </w:p>
    <w:p>
      <w:pPr>
        <w:pStyle w:val="Para 02"/>
      </w:pPr>
      <w:r>
        <w:t xml:space="preserve">manufacturer’s process. </w:t>
      </w:r>
    </w:p>
    <w:p>
      <w:pPr>
        <w:pStyle w:val="Para 25"/>
      </w:pPr>
      <w:r>
        <w:t/>
      </w:r>
    </w:p>
    <w:p>
      <w:pPr>
        <w:pStyle w:val="Para 04"/>
      </w:pPr>
      <w:r>
        <w:t xml:space="preserve">• </w:t>
        <w:t xml:space="preserve">Speed of deployment—Many duplication systems allow you copy from one drive to more </w:t>
      </w:r>
    </w:p>
    <w:p>
      <w:pPr>
        <w:pStyle w:val="Para 01"/>
      </w:pPr>
      <w:r>
        <w:t xml:space="preserve">than one destination drive at the same time. At faster than 2.3GB per minute, this solution </w:t>
      </w:r>
    </w:p>
    <w:p>
      <w:pPr>
        <w:pStyle w:val="Para 01"/>
      </w:pPr>
      <w:r>
        <w:t xml:space="preserve">is the fastest available. Add to this the fact that you can simultaneously image as many as </w:t>
      </w:r>
    </w:p>
    <w:p>
      <w:pPr>
        <w:pStyle w:val="Para 01"/>
      </w:pPr>
      <w:r>
        <w:t xml:space="preserve">16 drives, and duplication becomes a clear winner where speed is an issue. </w:t>
      </w:r>
    </w:p>
    <w:p>
      <w:pPr>
        <w:pStyle w:val="Para 25"/>
      </w:pPr>
      <w:r>
        <w:t/>
      </w:r>
    </w:p>
    <w:p>
      <w:pPr>
        <w:pStyle w:val="Para 04"/>
      </w:pPr>
      <w:r>
        <w:t xml:space="preserve">• Network bandwidth requirements—Unlike software imaging, and even unattended </w:t>
      </w:r>
    </w:p>
    <w:p>
      <w:pPr>
        <w:pStyle w:val="Para 01"/>
      </w:pPr>
      <w:r>
        <w:t xml:space="preserve">installations, drive duplication happens off the network, thus not consuming network bandwidth.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32" name="index-60_1.png" descr="index-60_1.png"/>
            <wp:cNvGraphicFramePr>
              <a:graphicFrameLocks noChangeAspect="1"/>
            </wp:cNvGraphicFramePr>
            <a:graphic>
              <a:graphicData uri="http://schemas.openxmlformats.org/drawingml/2006/picture">
                <pic:pic>
                  <pic:nvPicPr>
                    <pic:cNvPr id="0" name="index-60_1.png" descr="index-60_1.png"/>
                    <pic:cNvPicPr/>
                  </pic:nvPicPr>
                  <pic:blipFill>
                    <a:blip r:embed="rId13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33" name="index-60_2.png" descr="index-60_2.png"/>
            <wp:cNvGraphicFramePr>
              <a:graphicFrameLocks noChangeAspect="1"/>
            </wp:cNvGraphicFramePr>
            <a:graphic>
              <a:graphicData uri="http://schemas.openxmlformats.org/drawingml/2006/picture">
                <pic:pic>
                  <pic:nvPicPr>
                    <pic:cNvPr id="0" name="index-60_2.png" descr="index-60_2.png"/>
                    <pic:cNvPicPr/>
                  </pic:nvPicPr>
                  <pic:blipFill>
                    <a:blip r:embed="rId137"/>
                    <a:stretch>
                      <a:fillRect/>
                    </a:stretch>
                  </pic:blipFill>
                  <pic:spPr>
                    <a:xfrm>
                      <a:off x="0" y="0"/>
                      <a:ext cx="914400" cy="444500"/>
                    </a:xfrm>
                    <a:prstGeom prst="rect">
                      <a:avLst/>
                    </a:prstGeom>
                  </pic:spPr>
                </pic:pic>
              </a:graphicData>
            </a:graphic>
          </wp:anchor>
        </w:drawing>
      </w:r>
    </w:p>
    <w:p>
      <w:pPr>
        <w:pStyle w:val="0 Block"/>
      </w:pPr>
    </w:p>
    <w:p>
      <w:bookmarkStart w:id="64" w:name="Chapter_2_24"/>
      <w:pPr>
        <w:pStyle w:val="Heading 1"/>
        <w:pageBreakBefore w:val="on"/>
      </w:pPr>
      <w:r>
        <w:t>Chapter 2</w:t>
      </w:r>
      <w:bookmarkEnd w:id="64"/>
    </w:p>
    <w:p>
      <w:pPr>
        <w:pStyle w:val="Para 25"/>
      </w:pPr>
      <w:r>
        <w:t/>
      </w:r>
    </w:p>
    <w:p>
      <w:pPr>
        <w:pStyle w:val="Para 04"/>
      </w:pPr>
      <w:r>
        <w:t xml:space="preserve">• </w:t>
        <w:t xml:space="preserve">OS independent—With the drives being physically duplicated, the contents of the drives </w:t>
      </w:r>
    </w:p>
    <w:p>
      <w:pPr>
        <w:pStyle w:val="Para 01"/>
      </w:pPr>
      <w:r>
        <w:t xml:space="preserve">are irrelevant. Therefore, there is no limit to the OSs you can duplicate—any version of </w:t>
      </w:r>
    </w:p>
    <w:p>
      <w:pPr>
        <w:pStyle w:val="Para 01"/>
      </w:pPr>
      <w:r>
        <w:t xml:space="preserve">Windows, Linux, UNIX, Mac, or any other OS. </w:t>
      </w:r>
    </w:p>
    <w:p>
      <w:pPr>
        <w:pStyle w:val="Para 25"/>
      </w:pPr>
      <w:r>
        <w:t/>
      </w:r>
    </w:p>
    <w:p>
      <w:pPr>
        <w:pStyle w:val="Normal"/>
      </w:pPr>
      <w:r>
        <w:t xml:space="preserve">All the negative aspects of drive imaging apply to drive duplication. In addition to these drawbacks, drive duplication requires you to open each machine—some systems lend themselves </w:t>
      </w:r>
    </w:p>
    <w:p>
      <w:pPr>
        <w:pStyle w:val="Normal"/>
      </w:pPr>
      <w:r>
        <w:t xml:space="preserve">to drive replacement better than others. </w:t>
      </w:r>
    </w:p>
    <w:p>
      <w:pPr>
        <w:pStyle w:val="Para 25"/>
      </w:pPr>
      <w:r>
        <w:t/>
      </w:r>
    </w:p>
    <w:p>
      <w:pPr>
        <w:pStyle w:val="Para 09"/>
      </w:pPr>
      <w:r>
        <w:t xml:space="preserve">Available Solutions </w:t>
      </w:r>
    </w:p>
    <w:p>
      <w:pPr>
        <w:pStyle w:val="Para 25"/>
      </w:pPr>
      <w:r>
        <w:t/>
      </w:r>
    </w:p>
    <w:p>
      <w:pPr>
        <w:pStyle w:val="Normal"/>
      </w:pPr>
      <w:r>
        <w:t xml:space="preserve">There are several companies providing duplication equipment. We will briefly discuss some </w:t>
      </w:r>
    </w:p>
    <w:p>
      <w:pPr>
        <w:pStyle w:val="Normal"/>
      </w:pPr>
      <w:r>
        <w:t xml:space="preserve">options as well as factors you might want to consider when making your decision. </w:t>
      </w:r>
    </w:p>
    <w:p>
      <w:pPr>
        <w:pStyle w:val="Para 25"/>
      </w:pPr>
      <w:r>
        <w:t/>
      </w:r>
    </w:p>
    <w:p>
      <w:pPr>
        <w:pStyle w:val="Normal"/>
      </w:pPr>
      <w:r>
        <w:t xml:space="preserve">Features to look for in a drive duplication solution include support for IDE and SCSI, the ability </w:t>
      </w:r>
    </w:p>
    <w:p>
      <w:pPr>
        <w:pStyle w:val="Normal"/>
      </w:pPr>
      <w:r>
        <w:t xml:space="preserve">to duplicate a large number of drives at one time, and the ability to duplicate dissimilar hard drives. Easy loading and unloading of drives and, of course, speed are also key factors. Some </w:t>
      </w:r>
    </w:p>
    <w:p>
      <w:pPr>
        <w:pStyle w:val="Normal"/>
      </w:pPr>
      <w:r>
        <w:t xml:space="preserve">duplicators include diagnostics and utilities, and if you are cloning very large drives, you might </w:t>
      </w:r>
    </w:p>
    <w:p>
      <w:pPr>
        <w:pStyle w:val="Normal"/>
      </w:pPr>
      <w:r>
        <w:t xml:space="preserve">want to verify support before purchase (particularly those over 137GB). Some of the larger manufacturers include ImageMASSter, Logicube, Greystone Data Systems, Corporate Systems </w:t>
      </w:r>
    </w:p>
    <w:p>
      <w:pPr>
        <w:pStyle w:val="Normal"/>
      </w:pPr>
      <w:r>
        <w:t xml:space="preserve">Center, and Wytron Technology. </w:t>
      </w:r>
    </w:p>
    <w:p>
      <w:pPr>
        <w:pStyle w:val="Para 25"/>
      </w:pPr>
      <w:r>
        <w:t/>
      </w:r>
    </w:p>
    <w:p>
      <w:pPr>
        <w:pStyle w:val="Para 12"/>
      </w:pPr>
      <w:r>
        <w:t xml:space="preserve">OS Deployment Best Practices </w:t>
      </w:r>
    </w:p>
    <w:p>
      <w:pPr>
        <w:pStyle w:val="Para 25"/>
      </w:pPr>
      <w:r>
        <w:t/>
      </w:r>
    </w:p>
    <w:p>
      <w:pPr>
        <w:pStyle w:val="Normal"/>
      </w:pPr>
      <w:r>
        <w:t xml:space="preserve">OS deployment is a function performed by many desktop, systems, and network administrators. </w:t>
      </w:r>
    </w:p>
    <w:p>
      <w:pPr>
        <w:pStyle w:val="Normal"/>
      </w:pPr>
      <w:r>
        <w:t xml:space="preserve">Thus, a number of common sense guidelines are available, many of which were learned the hard way—through experience. </w:t>
      </w:r>
    </w:p>
    <w:p>
      <w:pPr>
        <w:pStyle w:val="Para 25"/>
      </w:pPr>
      <w:r>
        <w:t/>
      </w:r>
    </w:p>
    <w:p>
      <w:pPr>
        <w:pStyle w:val="Para 07"/>
      </w:pPr>
      <w:r>
        <w:t xml:space="preserve">Workstation Naming Conventions </w:t>
      </w:r>
    </w:p>
    <w:p>
      <w:pPr>
        <w:pStyle w:val="Normal"/>
      </w:pPr>
      <w:r>
        <w:t xml:space="preserve">Definitely give some thought to the make up of your workstation names. For identification </w:t>
      </w:r>
    </w:p>
    <w:p>
      <w:pPr>
        <w:pStyle w:val="Normal"/>
      </w:pPr>
      <w:r>
        <w:t xml:space="preserve">visually and for use by scripts, a well-engineered naming convention should be a major </w:t>
      </w:r>
    </w:p>
    <w:p>
      <w:pPr>
        <w:pStyle w:val="Normal"/>
      </w:pPr>
      <w:r>
        <w:t xml:space="preserve">consideration when starting up a new network or replacing a significant number of systems. This decision is one that you will have to live with for some time. Depending on your environment, </w:t>
      </w:r>
    </w:p>
    <w:p>
      <w:pPr>
        <w:pStyle w:val="Normal"/>
      </w:pPr>
      <w:r>
        <w:t xml:space="preserve">different identifying data will make sense. Table 2.2 provides some factors to consider.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34" name="index-61_1.png" descr="index-61_1.png"/>
            <wp:cNvGraphicFramePr>
              <a:graphicFrameLocks noChangeAspect="1"/>
            </wp:cNvGraphicFramePr>
            <a:graphic>
              <a:graphicData uri="http://schemas.openxmlformats.org/drawingml/2006/picture">
                <pic:pic>
                  <pic:nvPicPr>
                    <pic:cNvPr id="0" name="index-61_1.png" descr="index-61_1.png"/>
                    <pic:cNvPicPr/>
                  </pic:nvPicPr>
                  <pic:blipFill>
                    <a:blip r:embed="rId13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35" name="index-61_2.png" descr="index-61_2.png"/>
            <wp:cNvGraphicFramePr>
              <a:graphicFrameLocks noChangeAspect="1"/>
            </wp:cNvGraphicFramePr>
            <a:graphic>
              <a:graphicData uri="http://schemas.openxmlformats.org/drawingml/2006/picture">
                <pic:pic>
                  <pic:nvPicPr>
                    <pic:cNvPr id="0" name="index-61_2.png" descr="index-61_2.png"/>
                    <pic:cNvPicPr/>
                  </pic:nvPicPr>
                  <pic:blipFill>
                    <a:blip r:embed="rId139"/>
                    <a:stretch>
                      <a:fillRect/>
                    </a:stretch>
                  </pic:blipFill>
                  <pic:spPr>
                    <a:xfrm>
                      <a:off x="0" y="0"/>
                      <a:ext cx="914400" cy="444500"/>
                    </a:xfrm>
                    <a:prstGeom prst="rect">
                      <a:avLst/>
                    </a:prstGeom>
                  </pic:spPr>
                </pic:pic>
              </a:graphicData>
            </a:graphic>
          </wp:anchor>
        </w:drawing>
      </w:r>
    </w:p>
    <w:p>
      <w:pPr>
        <w:pStyle w:val="0 Block"/>
      </w:pPr>
    </w:p>
    <w:p>
      <w:bookmarkStart w:id="65" w:name="Chapter_2_25"/>
      <w:pPr>
        <w:pStyle w:val="Heading 1"/>
        <w:pageBreakBefore w:val="on"/>
      </w:pPr>
      <w:r>
        <w:t>Chapter 2</w:t>
      </w:r>
      <w:bookmarkEnd w:id="65"/>
    </w:p>
    <w:p>
      <w:pPr>
        <w:pStyle w:val="Para 25"/>
      </w:pPr>
      <w:r>
        <w:t/>
      </w:r>
    </w:p>
    <w:p>
      <w:pPr>
        <w:pStyle w:val="Para 18"/>
      </w:pPr>
      <w:r>
        <w:t xml:space="preserve">Factor Consideration </w:t>
      </w:r>
    </w:p>
    <w:p>
      <w:pPr>
        <w:pStyle w:val="Para 03"/>
      </w:pPr>
      <w:r>
        <w:t xml:space="preserve">Multiple sites </w:t>
      </w:r>
      <w:r>
        <w:rPr>
          <w:rStyle w:val="Text2"/>
        </w:rPr>
        <w:t xml:space="preserve"> </w:t>
      </w:r>
      <w:r>
        <w:t xml:space="preserve">Include a site code or name. If you are using a systems management system </w:t>
      </w:r>
    </w:p>
    <w:p>
      <w:pPr>
        <w:pStyle w:val="Para 06"/>
      </w:pPr>
      <w:r>
        <w:t xml:space="preserve">such as SMS, you might already have designated site codes in use. See if a </w:t>
        <w:t xml:space="preserve">site code or identifier is in use on the network before generating new ones. </w:t>
      </w:r>
    </w:p>
    <w:p>
      <w:pPr>
        <w:pStyle w:val="Para 03"/>
      </w:pPr>
      <w:r>
        <w:t xml:space="preserve">Multiple buildings </w:t>
      </w:r>
      <w:r>
        <w:rPr>
          <w:rStyle w:val="Text2"/>
        </w:rPr>
        <w:t xml:space="preserve"> </w:t>
      </w:r>
      <w:r>
        <w:t xml:space="preserve">A site might include more than one building. In this case, including something to </w:t>
      </w:r>
    </w:p>
    <w:p>
      <w:pPr>
        <w:pStyle w:val="Para 27"/>
      </w:pPr>
      <w:r>
        <w:t xml:space="preserve">identify the building number might be a good idea. </w:t>
      </w:r>
    </w:p>
    <w:p>
      <w:pPr>
        <w:pStyle w:val="Para 03"/>
      </w:pPr>
      <w:r>
        <w:t xml:space="preserve">Multiple floors </w:t>
      </w:r>
      <w:r>
        <w:rPr>
          <w:rStyle w:val="Text2"/>
        </w:rPr>
        <w:t xml:space="preserve"> </w:t>
      </w:r>
      <w:r>
        <w:t xml:space="preserve">If your network is dispersed between floors or might be in the future, including </w:t>
      </w:r>
    </w:p>
    <w:p>
      <w:pPr>
        <w:pStyle w:val="Para 06"/>
      </w:pPr>
      <w:r>
        <w:t xml:space="preserve">the floor can be of great help. Does the room number identify the floor already? </w:t>
        <w:t xml:space="preserve">If so, the floor number might be an unnecessary element. </w:t>
      </w:r>
    </w:p>
    <w:p>
      <w:pPr>
        <w:pStyle w:val="Para 03"/>
      </w:pPr>
      <w:r>
        <w:t xml:space="preserve">Multiple wings </w:t>
      </w:r>
      <w:r>
        <w:rPr>
          <w:rStyle w:val="Text2"/>
        </w:rPr>
        <w:t xml:space="preserve"> </w:t>
      </w:r>
      <w:r>
        <w:t xml:space="preserve">Which wing a system is in is also something often identified in a room number, </w:t>
      </w:r>
    </w:p>
    <w:p>
      <w:pPr>
        <w:pStyle w:val="Para 06"/>
      </w:pPr>
      <w:r>
        <w:t xml:space="preserve">but if it is not and it will help people locate a machine by its name, you can </w:t>
        <w:t xml:space="preserve">include the wing location as a valuable bit of information. </w:t>
      </w:r>
    </w:p>
    <w:p>
      <w:pPr>
        <w:pStyle w:val="Para 03"/>
      </w:pPr>
      <w:r>
        <w:t xml:space="preserve">Multiple rooms </w:t>
      </w:r>
      <w:r>
        <w:rPr>
          <w:rStyle w:val="Text2"/>
        </w:rPr>
        <w:t xml:space="preserve"> </w:t>
      </w:r>
      <w:r>
        <w:t xml:space="preserve">If physically locating a machine is of any interest to you, the room number is </w:t>
      </w:r>
    </w:p>
    <w:p>
      <w:pPr>
        <w:pStyle w:val="Para 30"/>
      </w:pPr>
      <w:r>
        <w:t xml:space="preserve">likely the most valuable information to include in a workstation name. </w:t>
      </w:r>
    </w:p>
    <w:p>
      <w:pPr>
        <w:pStyle w:val="Para 03"/>
      </w:pPr>
      <w:r>
        <w:t xml:space="preserve">More than one </w:t>
      </w:r>
      <w:r>
        <w:rPr>
          <w:rStyle w:val="Text2"/>
        </w:rPr>
        <w:t xml:space="preserve"> </w:t>
      </w:r>
      <w:r>
        <w:t xml:space="preserve">When there are two or more computers in the same room, and the room </w:t>
        <w:t xml:space="preserve">computer per room </w:t>
      </w:r>
      <w:r>
        <w:rPr>
          <w:rStyle w:val="Text2"/>
        </w:rPr>
        <w:t xml:space="preserve"> </w:t>
      </w:r>
      <w:r>
        <w:t xml:space="preserve">number is being used as identifying data for a computer name, you will need to </w:t>
      </w:r>
    </w:p>
    <w:p>
      <w:pPr>
        <w:pStyle w:val="Para 30"/>
      </w:pPr>
      <w:r>
        <w:t xml:space="preserve">come up with a consistent way of identifying computers within the same room. If </w:t>
        <w:t xml:space="preserve">there are two, perhaps the one closest to the door is A and the one further away </w:t>
        <w:t xml:space="preserve">is B. If there are several, you could identify them from distance to the main </w:t>
        <w:t xml:space="preserve">entrance or perhaps clockwise as you stand in the doorway. </w:t>
      </w:r>
    </w:p>
    <w:p>
      <w:pPr>
        <w:pStyle w:val="Para 03"/>
      </w:pPr>
      <w:r>
        <w:t xml:space="preserve">Primary function </w:t>
      </w:r>
      <w:r>
        <w:rPr>
          <w:rStyle w:val="Text2"/>
        </w:rPr>
        <w:t xml:space="preserve"> </w:t>
      </w:r>
      <w:r>
        <w:t xml:space="preserve">If a computer is a shared resource for Internet access or to connect to a certain </w:t>
      </w:r>
    </w:p>
    <w:p>
      <w:pPr>
        <w:pStyle w:val="Para 06"/>
      </w:pPr>
      <w:r>
        <w:t xml:space="preserve">network, the system’s primary function can be useful identifying data to include </w:t>
        <w:t xml:space="preserve">in the computer name. </w:t>
      </w:r>
    </w:p>
    <w:p>
      <w:pPr>
        <w:pStyle w:val="Para 03"/>
      </w:pPr>
      <w:r>
        <w:t xml:space="preserve">Primary user </w:t>
      </w:r>
      <w:r>
        <w:rPr>
          <w:rStyle w:val="Text2"/>
        </w:rPr>
        <w:t xml:space="preserve"> </w:t>
      </w:r>
      <w:r>
        <w:t xml:space="preserve">If computers are assigned to individuals and not rooms, include a UserID or </w:t>
      </w:r>
    </w:p>
    <w:p>
      <w:pPr>
        <w:pStyle w:val="Para 30"/>
      </w:pPr>
      <w:r>
        <w:t xml:space="preserve">initials. When using initials, keep in mind that the likelihood of duplicate </w:t>
        <w:t xml:space="preserve">instances will increase along with the number of users. Also keep in mind, </w:t>
        <w:t xml:space="preserve">people move and company turnover rates might fluctuate. Try to avoid a </w:t>
        <w:t xml:space="preserve">situation in which you constantly have to change computer names. </w:t>
      </w:r>
    </w:p>
    <w:p>
      <w:pPr>
        <w:pStyle w:val="Para 03"/>
      </w:pPr>
      <w:r>
        <w:t xml:space="preserve">Asset tag number </w:t>
      </w:r>
      <w:r>
        <w:rPr>
          <w:rStyle w:val="Text2"/>
        </w:rPr>
        <w:t xml:space="preserve"> </w:t>
      </w:r>
      <w:r>
        <w:t xml:space="preserve">If you have an asset management system in place, using just the asset tag </w:t>
      </w:r>
    </w:p>
    <w:p>
      <w:pPr>
        <w:pStyle w:val="Para 06"/>
      </w:pPr>
      <w:r>
        <w:t xml:space="preserve">code might suffice. This decision would weigh greatly on the availability and </w:t>
        <w:t xml:space="preserve">accuracy of your asset management database. </w:t>
      </w:r>
    </w:p>
    <w:p>
      <w:pPr>
        <w:pStyle w:val="Para 03"/>
      </w:pPr>
      <w:r>
        <w:t xml:space="preserve">OS </w:t>
      </w:r>
      <w:r>
        <w:rPr>
          <w:rStyle w:val="Text2"/>
        </w:rPr>
        <w:t xml:space="preserve"> </w:t>
      </w:r>
      <w:r>
        <w:t xml:space="preserve">If you have multiple OSs on the network and this information is vital, including </w:t>
      </w:r>
    </w:p>
    <w:p>
      <w:pPr>
        <w:pStyle w:val="Para 30"/>
      </w:pPr>
      <w:r>
        <w:t xml:space="preserve">an identifier for the OS might make sense. Remember that the OS can change </w:t>
        <w:t xml:space="preserve">and there are other (possibly better) means of determining and/or documenting </w:t>
        <w:t xml:space="preserve">the OS for the machine. </w:t>
      </w:r>
    </w:p>
    <w:p>
      <w:pPr>
        <w:pStyle w:val="Para 25"/>
      </w:pPr>
      <w:r>
        <w:t/>
      </w:r>
    </w:p>
    <w:p>
      <w:pPr>
        <w:pStyle w:val="Para 10"/>
      </w:pPr>
      <w:r>
        <w:t xml:space="preserve">Table 2.2: Naming convention factors and the reason to consider them. </w:t>
      </w:r>
    </w:p>
    <w:p>
      <w:pPr>
        <w:pStyle w:val="Para 25"/>
      </w:pPr>
      <w:r>
        <w:t/>
      </w:r>
    </w:p>
    <w:p>
      <w:pPr>
        <w:pStyle w:val="Normal"/>
      </w:pPr>
      <w:r>
        <w:t xml:space="preserve">A structured computer name can not only help you identify machines visually, but it can also </w:t>
      </w:r>
    </w:p>
    <w:p>
      <w:pPr>
        <w:pStyle w:val="Normal"/>
      </w:pPr>
      <w:r>
        <w:t xml:space="preserve">help scripts and other management systems identify machines. For example, if you want to </w:t>
      </w:r>
    </w:p>
    <w:p>
      <w:pPr>
        <w:pStyle w:val="Normal"/>
      </w:pPr>
      <w:r>
        <w:t xml:space="preserve">perform an action on all computers at a specific site, and the site is identified as part of your computer name, you can use the computer name as a condition within a script. Several </w:t>
      </w:r>
    </w:p>
    <w:p>
      <w:pPr>
        <w:pStyle w:val="Normal"/>
      </w:pPr>
      <w:r>
        <w:t xml:space="preserve">commercial products allow for computer names to be utilized in identifying systems by </w:t>
      </w:r>
    </w:p>
    <w:p>
      <w:pPr>
        <w:pStyle w:val="Normal"/>
      </w:pPr>
      <w:r>
        <w:t xml:space="preserve">accepting a computer name as a parameter and offering wildcard support. For example, ScriptLogic’s Validation Logic offers the ability to identify which computers should perform a </w:t>
      </w:r>
    </w:p>
    <w:p>
      <w:pPr>
        <w:pStyle w:val="Normal"/>
      </w:pPr>
      <w:r>
        <w:t xml:space="preserve">specified action on computer names. Microsoft Operations Manager (MOM) bases the remote </w:t>
      </w:r>
    </w:p>
    <w:p>
      <w:pPr>
        <w:pStyle w:val="Normal"/>
      </w:pPr>
      <w:r>
        <w:t xml:space="preserve">deployment of its management agent on computer name. And, when using Deployment Solution from Altiris, you can specify events (such as software deployment) on the computer name. These </w:t>
      </w:r>
    </w:p>
    <w:p>
      <w:pPr>
        <w:pStyle w:val="Normal"/>
      </w:pPr>
      <w:r>
        <w:t xml:space="preserve">are just a few examples to help illustrate the value of a meaningful naming convention; check </w:t>
      </w:r>
    </w:p>
    <w:p>
      <w:pPr>
        <w:pStyle w:val="Normal"/>
      </w:pPr>
      <w:r>
        <w:t xml:space="preserve">your management software for such support. Even if your software only supports sorting systems </w:t>
      </w:r>
    </w:p>
    <w:p>
      <w:pPr>
        <w:pStyle w:val="Normal"/>
      </w:pPr>
      <w:r>
        <w:t>by name, a structured naming convention can be of value.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36" name="index-62_1.png" descr="index-62_1.png"/>
            <wp:cNvGraphicFramePr>
              <a:graphicFrameLocks noChangeAspect="1"/>
            </wp:cNvGraphicFramePr>
            <a:graphic>
              <a:graphicData uri="http://schemas.openxmlformats.org/drawingml/2006/picture">
                <pic:pic>
                  <pic:nvPicPr>
                    <pic:cNvPr id="0" name="index-62_1.png" descr="index-62_1.png"/>
                    <pic:cNvPicPr/>
                  </pic:nvPicPr>
                  <pic:blipFill>
                    <a:blip r:embed="rId14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37" name="index-62_2.png" descr="index-62_2.png"/>
            <wp:cNvGraphicFramePr>
              <a:graphicFrameLocks noChangeAspect="1"/>
            </wp:cNvGraphicFramePr>
            <a:graphic>
              <a:graphicData uri="http://schemas.openxmlformats.org/drawingml/2006/picture">
                <pic:pic>
                  <pic:nvPicPr>
                    <pic:cNvPr id="0" name="index-62_2.png" descr="index-62_2.png"/>
                    <pic:cNvPicPr/>
                  </pic:nvPicPr>
                  <pic:blipFill>
                    <a:blip r:embed="rId141"/>
                    <a:stretch>
                      <a:fillRect/>
                    </a:stretch>
                  </pic:blipFill>
                  <pic:spPr>
                    <a:xfrm>
                      <a:off x="0" y="0"/>
                      <a:ext cx="914400" cy="444500"/>
                    </a:xfrm>
                    <a:prstGeom prst="rect">
                      <a:avLst/>
                    </a:prstGeom>
                  </pic:spPr>
                </pic:pic>
              </a:graphicData>
            </a:graphic>
          </wp:anchor>
        </w:drawing>
      </w:r>
    </w:p>
    <w:p>
      <w:pPr>
        <w:pStyle w:val="0 Block"/>
      </w:pPr>
    </w:p>
    <w:p>
      <w:bookmarkStart w:id="66" w:name="Chapter_2_26"/>
      <w:pPr>
        <w:pStyle w:val="Heading 1"/>
        <w:pageBreakBefore w:val="on"/>
      </w:pPr>
      <w:r>
        <w:t>Chapter 2</w:t>
      </w:r>
      <w:bookmarkEnd w:id="66"/>
    </w:p>
    <w:p>
      <w:pPr>
        <w:pStyle w:val="Para 25"/>
      </w:pPr>
      <w:r>
        <w:t/>
      </w:r>
    </w:p>
    <w:p>
      <w:pPr>
        <w:pStyle w:val="Normal"/>
      </w:pPr>
      <w:r>
        <w:t xml:space="preserve">Some example computer name structures include: </w:t>
      </w:r>
    </w:p>
    <w:p>
      <w:pPr>
        <w:pStyle w:val="Para 25"/>
      </w:pPr>
      <w:r>
        <w:t/>
      </w:r>
    </w:p>
    <w:p>
      <w:pPr>
        <w:pStyle w:val="Para 04"/>
      </w:pPr>
      <w:r>
        <w:t xml:space="preserve">• S01B2F1G210A—Site 1, Building 2, Floor 1, G Wing, Room 210, the first or only </w:t>
      </w:r>
    </w:p>
    <w:p>
      <w:pPr>
        <w:pStyle w:val="Para 01"/>
      </w:pPr>
      <w:r>
        <w:t xml:space="preserve">computer in the room </w:t>
      </w:r>
    </w:p>
    <w:p>
      <w:pPr>
        <w:pStyle w:val="Para 25"/>
      </w:pPr>
      <w:r>
        <w:t/>
      </w:r>
    </w:p>
    <w:p>
      <w:pPr>
        <w:pStyle w:val="Para 04"/>
      </w:pPr>
      <w:r>
        <w:t xml:space="preserve">• ENG-KIOSK03—Engineering group common area workstation number 3 </w:t>
      </w:r>
    </w:p>
    <w:p>
      <w:pPr>
        <w:pStyle w:val="Para 25"/>
      </w:pPr>
      <w:r>
        <w:t/>
      </w:r>
    </w:p>
    <w:p>
      <w:pPr>
        <w:pStyle w:val="Para 04"/>
      </w:pPr>
      <w:r>
        <w:t xml:space="preserve">• WNT-KKELLY—An NT workstation that belongs to Kayla Kelly </w:t>
      </w:r>
    </w:p>
    <w:p>
      <w:pPr>
        <w:pStyle w:val="Para 25"/>
      </w:pPr>
      <w:r>
        <w:t/>
      </w:r>
    </w:p>
    <w:p>
      <w:pPr>
        <w:pStyle w:val="Para 04"/>
      </w:pPr>
      <w:r>
        <w:t xml:space="preserve">• PC1032-327G—Asset tag number PC1032 and room number 327G. </w:t>
      </w:r>
    </w:p>
    <w:p>
      <w:pPr>
        <w:pStyle w:val="Para 25"/>
      </w:pPr>
      <w:r>
        <w:t/>
      </w:r>
    </w:p>
    <w:p>
      <w:pPr>
        <w:pStyle w:val="Normal"/>
      </w:pPr>
      <w:r>
        <w:t xml:space="preserve">Don’t include everything—too long and complicated a name might defeat the purpose. You might want to be able to know where the machine is, what its function is, or whom it belongs to. </w:t>
      </w:r>
    </w:p>
    <w:p>
      <w:pPr>
        <w:pStyle w:val="Normal"/>
      </w:pPr>
      <w:r>
        <w:t xml:space="preserve">However, computer names are limited to 14 characters. Whatever the decision, try to think </w:t>
      </w:r>
    </w:p>
    <w:p>
      <w:pPr>
        <w:pStyle w:val="Normal"/>
      </w:pPr>
      <w:r>
        <w:t xml:space="preserve">beyond your current network configuration. The likelihood that your network will grow in the future is very strong. </w:t>
      </w:r>
    </w:p>
    <w:p>
      <w:pPr>
        <w:pStyle w:val="Para 25"/>
      </w:pPr>
      <w:r>
        <w:t/>
      </w:r>
    </w:p>
    <w:p>
      <w:pPr>
        <w:pStyle w:val="Para 02"/>
      </w:pPr>
      <w:r>
        <w:t xml:space="preserve">Win2K DNS supports the underscore (_) character as a valid DNS character, but other DNS solutions </w:t>
      </w:r>
    </w:p>
    <w:p>
      <w:pPr>
        <w:pStyle w:val="Para 02"/>
      </w:pPr>
      <w:r>
        <w:t xml:space="preserve">might not, so to avoid possible problems, Win2K Setup recommends underscores be changed to </w:t>
      </w:r>
    </w:p>
    <w:p>
      <w:pPr>
        <w:pStyle w:val="Para 02"/>
      </w:pPr>
      <w:r>
        <w:t xml:space="preserve">dashes. As a result, it is strongly recommended that you abstain from using underscores in computer </w:t>
      </w:r>
    </w:p>
    <w:p>
      <w:pPr>
        <w:pStyle w:val="Para 02"/>
      </w:pPr>
      <w:r>
        <w:t xml:space="preserve">names—you might never encounter a problem as a result of using one, but if and when you do, it </w:t>
      </w:r>
    </w:p>
    <w:p>
      <w:pPr>
        <w:pStyle w:val="Para 02"/>
      </w:pPr>
      <w:r>
        <w:t xml:space="preserve">might not be clear that the underscore is the problem. It is best to simply not use them from the </w:t>
      </w:r>
    </w:p>
    <w:p>
      <w:pPr>
        <w:pStyle w:val="Para 02"/>
      </w:pPr>
      <w:r>
        <w:t xml:space="preserve">beginning. </w:t>
      </w:r>
    </w:p>
    <w:p>
      <w:pPr>
        <w:pStyle w:val="Para 25"/>
      </w:pPr>
      <w:r>
        <w:t/>
      </w:r>
    </w:p>
    <w:p>
      <w:pPr>
        <w:pStyle w:val="Para 07"/>
      </w:pPr>
      <w:r>
        <w:t xml:space="preserve">System Build Information </w:t>
      </w:r>
    </w:p>
    <w:p>
      <w:pPr>
        <w:pStyle w:val="Normal"/>
      </w:pPr>
      <w:r>
        <w:t xml:space="preserve">Include baseline identification or similar relevant information to the system as part of your </w:t>
      </w:r>
    </w:p>
    <w:p>
      <w:pPr>
        <w:pStyle w:val="Normal"/>
      </w:pPr>
      <w:r>
        <w:t xml:space="preserve">rollout process. Best implemented by script, when you include information in the registry for </w:t>
      </w:r>
    </w:p>
    <w:p>
      <w:pPr>
        <w:pStyle w:val="Normal"/>
      </w:pPr>
      <w:r>
        <w:t xml:space="preserve">later use, you will be thankful step later. </w:t>
      </w:r>
    </w:p>
    <w:p>
      <w:pPr>
        <w:pStyle w:val="Para 25"/>
      </w:pPr>
      <w:r>
        <w:t/>
      </w:r>
    </w:p>
    <w:p>
      <w:pPr>
        <w:pStyle w:val="Para 07"/>
      </w:pPr>
      <w:r>
        <w:t xml:space="preserve">Image Identification </w:t>
      </w:r>
    </w:p>
    <w:p>
      <w:pPr>
        <w:pStyle w:val="Normal"/>
      </w:pPr>
      <w:r>
        <w:t xml:space="preserve">Perhaps you are lucky enough to have an image that works on all hardware platforms that you </w:t>
      </w:r>
    </w:p>
    <w:p>
      <w:pPr>
        <w:pStyle w:val="Normal"/>
      </w:pPr>
      <w:r>
        <w:t xml:space="preserve">need to support. This image is still likely to be the first of many, and a naming convention will </w:t>
      </w:r>
    </w:p>
    <w:p>
      <w:pPr>
        <w:pStyle w:val="Normal"/>
      </w:pPr>
      <w:r>
        <w:t xml:space="preserve">prove helpful to distinguish images from one another. If you have different baseline images to </w:t>
      </w:r>
    </w:p>
    <w:p>
      <w:pPr>
        <w:pStyle w:val="Normal"/>
      </w:pPr>
      <w:r>
        <w:t xml:space="preserve">track, image identification fits well into an image naming convention. The simplest method is a versioning system. The first image released is version 1, the second is version 2, and so on. If </w:t>
      </w:r>
    </w:p>
    <w:p>
      <w:pPr>
        <w:pStyle w:val="Normal"/>
      </w:pPr>
      <w:r>
        <w:t xml:space="preserve">fixes or minor changes have to be made to an image, include a sub-version number (such as 1.2, </w:t>
      </w:r>
    </w:p>
    <w:p>
      <w:pPr>
        <w:pStyle w:val="Normal"/>
      </w:pPr>
      <w:r>
        <w:t xml:space="preserve">1.3, 2.0, and so on). It is also a good practice to include a date on any CD-ROMs that are created, as there may be times during image development at which new and updated images are routinely </w:t>
      </w:r>
    </w:p>
    <w:p>
      <w:pPr>
        <w:pStyle w:val="Normal"/>
      </w:pPr>
      <w:r>
        <w:t xml:space="preserve">generated. </w:t>
      </w:r>
    </w:p>
    <w:p>
      <w:pPr>
        <w:pStyle w:val="Para 25"/>
      </w:pPr>
      <w:r>
        <w:t/>
      </w:r>
    </w:p>
    <w:p>
      <w:pPr>
        <w:pStyle w:val="Para 12"/>
      </w:pPr>
      <w:r>
        <w:t xml:space="preserve">Summary </w:t>
      </w:r>
    </w:p>
    <w:p>
      <w:pPr>
        <w:pStyle w:val="Para 25"/>
      </w:pPr>
      <w:r>
        <w:t/>
      </w:r>
    </w:p>
    <w:p>
      <w:pPr>
        <w:pStyle w:val="Normal"/>
      </w:pPr>
      <w:r>
        <w:t xml:space="preserve">We started this chapter by discussing the concept of establishing a common baseline. We also </w:t>
      </w:r>
    </w:p>
    <w:p>
      <w:pPr>
        <w:pStyle w:val="Normal"/>
      </w:pPr>
      <w:r>
        <w:t>covered the major deployment methods for rolling out new systems as well as the benefits and drawbacks of each. In the next chapter, we will discuss user profile and user data management.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38" name="index-63_1.png" descr="index-63_1.png"/>
            <wp:cNvGraphicFramePr>
              <a:graphicFrameLocks noChangeAspect="1"/>
            </wp:cNvGraphicFramePr>
            <a:graphic>
              <a:graphicData uri="http://schemas.openxmlformats.org/drawingml/2006/picture">
                <pic:pic>
                  <pic:nvPicPr>
                    <pic:cNvPr id="0" name="index-63_1.png" descr="index-63_1.png"/>
                    <pic:cNvPicPr/>
                  </pic:nvPicPr>
                  <pic:blipFill>
                    <a:blip r:embed="rId14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39" name="index-63_2.png" descr="index-63_2.png"/>
            <wp:cNvGraphicFramePr>
              <a:graphicFrameLocks noChangeAspect="1"/>
            </wp:cNvGraphicFramePr>
            <a:graphic>
              <a:graphicData uri="http://schemas.openxmlformats.org/drawingml/2006/picture">
                <pic:pic>
                  <pic:nvPicPr>
                    <pic:cNvPr id="0" name="index-63_2.png" descr="index-63_2.png"/>
                    <pic:cNvPicPr/>
                  </pic:nvPicPr>
                  <pic:blipFill>
                    <a:blip r:embed="rId143"/>
                    <a:stretch>
                      <a:fillRect/>
                    </a:stretch>
                  </pic:blipFill>
                  <pic:spPr>
                    <a:xfrm>
                      <a:off x="0" y="0"/>
                      <a:ext cx="914400" cy="444500"/>
                    </a:xfrm>
                    <a:prstGeom prst="rect">
                      <a:avLst/>
                    </a:prstGeom>
                  </pic:spPr>
                </pic:pic>
              </a:graphicData>
            </a:graphic>
          </wp:anchor>
        </w:drawing>
      </w:r>
    </w:p>
    <w:p>
      <w:pPr>
        <w:pStyle w:val="0 Block"/>
      </w:pPr>
    </w:p>
    <w:p>
      <w:bookmarkStart w:id="67" w:name="Chapter_3"/>
      <w:pPr>
        <w:pStyle w:val="Heading 1"/>
        <w:pageBreakBefore w:val="on"/>
      </w:pPr>
      <w:r>
        <w:t>Chapter 3</w:t>
      </w:r>
      <w:bookmarkEnd w:id="67"/>
    </w:p>
    <w:p>
      <w:pPr>
        <w:pStyle w:val="Para 25"/>
      </w:pPr>
      <w:r>
        <w:t/>
      </w:r>
    </w:p>
    <w:p>
      <w:pPr>
        <w:pStyle w:val="0 Block"/>
      </w:pPr>
    </w:p>
    <w:p>
      <w:bookmarkStart w:id="68" w:name="Chapter_3__User_Profile_and_Data"/>
      <w:pPr>
        <w:pStyle w:val="Para 23"/>
        <w:pageBreakBefore w:val="on"/>
      </w:pPr>
      <w:r>
        <w:t xml:space="preserve">Chapter 3: User Profile and Data Management </w:t>
      </w:r>
      <w:bookmarkEnd w:id="68"/>
    </w:p>
    <w:p>
      <w:pPr>
        <w:pStyle w:val="Para 25"/>
      </w:pPr>
      <w:r>
        <w:t/>
      </w:r>
    </w:p>
    <w:p>
      <w:pPr>
        <w:pStyle w:val="Normal"/>
      </w:pPr>
      <w:r>
        <w:t xml:space="preserve">In the last chapter, we covered the deployment of new systems. With your baseline identified, </w:t>
      </w:r>
    </w:p>
    <w:p>
      <w:pPr>
        <w:pStyle w:val="Normal"/>
      </w:pPr>
      <w:r>
        <w:t xml:space="preserve">tested, and deployed, the real challenge of desktop administration comes into play—satisfying </w:t>
      </w:r>
    </w:p>
    <w:p>
      <w:pPr>
        <w:pStyle w:val="Normal"/>
      </w:pPr>
      <w:r>
        <w:t xml:space="preserve">your users. Your goal in this area is clear: provide your users with the software they need as well as helpful default settings to ease its use. If a user has to search for an application, configure the </w:t>
      </w:r>
    </w:p>
    <w:p>
      <w:pPr>
        <w:pStyle w:val="Normal"/>
      </w:pPr>
      <w:r>
        <w:t xml:space="preserve">application, search for his or her data, then work to identify and install the nearest printer, they </w:t>
      </w:r>
    </w:p>
    <w:p>
      <w:pPr>
        <w:pStyle w:val="Normal"/>
      </w:pPr>
      <w:r>
        <w:t xml:space="preserve">will not be productive (or happy) users. Even when users are fairly experienced in the use of </w:t>
      </w:r>
    </w:p>
    <w:p>
      <w:pPr>
        <w:pStyle w:val="Normal"/>
      </w:pPr>
      <w:r>
        <w:t xml:space="preserve">Windows, searching for documents and printers can be a real headache. A well-implemented desktop can save users from these speed bumps, reduce Help desk calls, and increase user </w:t>
      </w:r>
    </w:p>
    <w:p>
      <w:pPr>
        <w:pStyle w:val="Normal"/>
      </w:pPr>
      <w:r>
        <w:t xml:space="preserve">productivity. In this chapter, we will cover user profiles and various ways you can implement </w:t>
      </w:r>
    </w:p>
    <w:p>
      <w:pPr>
        <w:pStyle w:val="Normal"/>
      </w:pPr>
      <w:r>
        <w:t xml:space="preserve">and control them (for an overview, see the sidebar “Group Policy, Scripting, and Third-Party Solutions”). We will also discuss what might be considered the most critical aspect of desktop </w:t>
      </w:r>
    </w:p>
    <w:p>
      <w:pPr>
        <w:pStyle w:val="Normal"/>
      </w:pPr>
      <w:r>
        <w:t xml:space="preserve">administration—user data management. </w:t>
      </w:r>
    </w:p>
    <w:p>
      <w:pPr>
        <w:pStyle w:val="Para 25"/>
      </w:pPr>
      <w:r>
        <w:t/>
      </w:r>
    </w:p>
    <w:p>
      <w:pPr>
        <w:pStyle w:val="Para 19"/>
      </w:pPr>
      <w:r>
        <w:t xml:space="preserve">Group Policy, Scripting, and Third-Party Solutions </w:t>
      </w:r>
    </w:p>
    <w:p>
      <w:pPr>
        <w:pStyle w:val="Para 03"/>
      </w:pPr>
      <w:r>
        <w:t xml:space="preserve">Many of the issues covered with regard to desktop administration lend themselves to one of three primary </w:t>
        <w:t xml:space="preserve">solutions: Group Policy, scripting, and third-party solutions. Group Policy provides a specific set of </w:t>
        <w:t xml:space="preserve">solutions to certain problems; where appropriate, I’ve pointed out these capabilities throughout this </w:t>
        <w:t xml:space="preserve">chapter. Group Policy is popular with its users; however, as a result of Group Policy’s strict requirements, </w:t>
        <w:t xml:space="preserve">a great many organizations can’t take advantage of the benefits of this desktop administration solution. </w:t>
        <w:t xml:space="preserve">Group Policy requires AD, and its managed clients must be running Win2K or later—thus, Windows 9x, </w:t>
        <w:t xml:space="preserve">Windows ME, and other clients are out of luck in terms of using Group Policy. </w:t>
      </w:r>
    </w:p>
    <w:p>
      <w:pPr>
        <w:pStyle w:val="Para 03"/>
      </w:pPr>
      <w:r>
        <w:t xml:space="preserve">Even if you use Group Policy on your network, this solution can’t do it all. In environments in which you </w:t>
        <w:t xml:space="preserve">need to address specific requirements (for example, your network has legacy desktops), scripting is often </w:t>
        <w:t xml:space="preserve">the tool that will get the job done. In Chapter 7, we will explore how you can script solutions to several </w:t>
        <w:t xml:space="preserve">desktop administration issues. </w:t>
      </w:r>
    </w:p>
    <w:p>
      <w:pPr>
        <w:pStyle w:val="Para 03"/>
      </w:pPr>
      <w:r>
        <w:t xml:space="preserve">Finally, if scripting isn’t within your skill set or your needs are robust enough to demand a supported, </w:t>
        <w:t xml:space="preserve">documented, and evolving solution, third-party software is the choice for you. Although scripting your own </w:t>
        <w:t xml:space="preserve">solution is a viable option in many situations, developing and maintaining a very large and complex script </w:t>
        <w:t xml:space="preserve">can be expensive. In such cases, a third-party solution makes sense. </w:t>
      </w:r>
    </w:p>
    <w:p>
      <w:pPr>
        <w:pStyle w:val="Para 03"/>
      </w:pPr>
      <w:r>
        <w:t xml:space="preserve">The problems you face will often direct you to the most reasonable solution for your scenario. My point is </w:t>
        <w:t xml:space="preserve">to show you that you have desktop administration solution options. Depending on the size and complexity </w:t>
        <w:t xml:space="preserve">of your network (and the complexity of the problems that you are sure to face as a result), it often makes </w:t>
        <w:t xml:space="preserve">sense to employ a combination of Group Policy, scripting, and third-party solutions to address all of your </w:t>
        <w:t xml:space="preserve">needs.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40" name="index-64_1.png" descr="index-64_1.png"/>
            <wp:cNvGraphicFramePr>
              <a:graphicFrameLocks noChangeAspect="1"/>
            </wp:cNvGraphicFramePr>
            <a:graphic>
              <a:graphicData uri="http://schemas.openxmlformats.org/drawingml/2006/picture">
                <pic:pic>
                  <pic:nvPicPr>
                    <pic:cNvPr id="0" name="index-64_1.png" descr="index-64_1.png"/>
                    <pic:cNvPicPr/>
                  </pic:nvPicPr>
                  <pic:blipFill>
                    <a:blip r:embed="rId14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41" name="index-64_2.png" descr="index-64_2.png"/>
            <wp:cNvGraphicFramePr>
              <a:graphicFrameLocks noChangeAspect="1"/>
            </wp:cNvGraphicFramePr>
            <a:graphic>
              <a:graphicData uri="http://schemas.openxmlformats.org/drawingml/2006/picture">
                <pic:pic>
                  <pic:nvPicPr>
                    <pic:cNvPr id="0" name="index-64_2.png" descr="index-64_2.png"/>
                    <pic:cNvPicPr/>
                  </pic:nvPicPr>
                  <pic:blipFill>
                    <a:blip r:embed="rId145"/>
                    <a:stretch>
                      <a:fillRect/>
                    </a:stretch>
                  </pic:blipFill>
                  <pic:spPr>
                    <a:xfrm>
                      <a:off x="0" y="0"/>
                      <a:ext cx="914400" cy="444500"/>
                    </a:xfrm>
                    <a:prstGeom prst="rect">
                      <a:avLst/>
                    </a:prstGeom>
                  </pic:spPr>
                </pic:pic>
              </a:graphicData>
            </a:graphic>
          </wp:anchor>
        </w:drawing>
      </w:r>
    </w:p>
    <w:p>
      <w:pPr>
        <w:pStyle w:val="0 Block"/>
      </w:pPr>
    </w:p>
    <w:p>
      <w:bookmarkStart w:id="69" w:name="Chapter_3_1"/>
      <w:pPr>
        <w:pStyle w:val="Heading 1"/>
        <w:pageBreakBefore w:val="on"/>
      </w:pPr>
      <w:r>
        <w:t>Chapter 3</w:t>
      </w:r>
      <w:bookmarkEnd w:id="69"/>
    </w:p>
    <w:p>
      <w:pPr>
        <w:pStyle w:val="Para 25"/>
      </w:pPr>
      <w:r>
        <w:t/>
      </w:r>
    </w:p>
    <w:p>
      <w:pPr>
        <w:pStyle w:val="Para 12"/>
      </w:pPr>
      <w:r>
        <w:t xml:space="preserve">User Profiles </w:t>
      </w:r>
    </w:p>
    <w:p>
      <w:pPr>
        <w:pStyle w:val="Para 25"/>
      </w:pPr>
      <w:r>
        <w:t/>
      </w:r>
    </w:p>
    <w:p>
      <w:pPr>
        <w:pStyle w:val="Normal"/>
      </w:pPr>
      <w:r>
        <w:t xml:space="preserve">Many settings affect the entire system (and all who use it). For this reason, NT and later versions </w:t>
      </w:r>
    </w:p>
    <w:p>
      <w:pPr>
        <w:pStyle w:val="Normal"/>
      </w:pPr>
      <w:r>
        <w:t xml:space="preserve">of Windows provide default security settings that restrict users with non-administrative </w:t>
      </w:r>
    </w:p>
    <w:p>
      <w:pPr>
        <w:pStyle w:val="Normal"/>
      </w:pPr>
      <w:r>
        <w:t xml:space="preserve">permissions from modifying such items as system time, display resolution, and software installation, to name a few. (For information about Windows 9x support for user profiles, see the </w:t>
      </w:r>
    </w:p>
    <w:p>
      <w:pPr>
        <w:pStyle w:val="Normal"/>
      </w:pPr>
      <w:r>
        <w:t xml:space="preserve">sidebar “Windows 9x Support for User Profiles.”) Conversely, there are many settings that are </w:t>
      </w:r>
    </w:p>
    <w:p>
      <w:pPr>
        <w:pStyle w:val="Normal"/>
      </w:pPr>
      <w:r>
        <w:t xml:space="preserve">user-specific, such as printer and drive mappings, software settings, desktop colors, shortcuts, </w:t>
      </w:r>
    </w:p>
    <w:p>
      <w:pPr>
        <w:pStyle w:val="Normal"/>
      </w:pPr>
      <w:r>
        <w:t xml:space="preserve">and wallpaper. These types of items are stored in an area separate from those that users don’t have permissions to change, and the user is given full control over these settings, which are </w:t>
      </w:r>
    </w:p>
    <w:p>
      <w:pPr>
        <w:pStyle w:val="Normal"/>
      </w:pPr>
      <w:r>
        <w:t xml:space="preserve">referred to as the </w:t>
      </w:r>
      <w:r>
        <w:rPr>
          <w:rStyle w:val="Text0"/>
        </w:rPr>
        <w:t>user profile</w:t>
      </w:r>
      <w:r>
        <w:t xml:space="preserve">. The user profile is made up of a directory structure identified with </w:t>
      </w:r>
    </w:p>
    <w:p>
      <w:pPr>
        <w:pStyle w:val="Normal"/>
      </w:pPr>
      <w:r>
        <w:t xml:space="preserve">the root folder name of the user to which the profile belongs. This root folder also contains a file named User.dat or Ntuser.dat, which contains the HKEY_CURRENT_USER registry hive used </w:t>
      </w:r>
    </w:p>
    <w:p>
      <w:pPr>
        <w:pStyle w:val="Normal"/>
      </w:pPr>
      <w:r>
        <w:t xml:space="preserve">to store settings specific to the user (see Figure 3.1). There are many ways to configure, modify, </w:t>
      </w:r>
    </w:p>
    <w:p>
      <w:pPr>
        <w:pStyle w:val="Normal"/>
      </w:pPr>
      <w:r>
        <w:t xml:space="preserve">and even force settings within a user profile.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74800" cy="1689100"/>
            <wp:effectExtent l="0" r="0" t="0" b="0"/>
            <wp:wrapTopAndBottom/>
            <wp:docPr id="142" name="index-65_1.png" descr="index-65_1.png"/>
            <wp:cNvGraphicFramePr>
              <a:graphicFrameLocks noChangeAspect="1"/>
            </wp:cNvGraphicFramePr>
            <a:graphic>
              <a:graphicData uri="http://schemas.openxmlformats.org/drawingml/2006/picture">
                <pic:pic>
                  <pic:nvPicPr>
                    <pic:cNvPr id="0" name="index-65_1.png" descr="index-65_1.png"/>
                    <pic:cNvPicPr/>
                  </pic:nvPicPr>
                  <pic:blipFill>
                    <a:blip r:embed="rId146"/>
                    <a:stretch>
                      <a:fillRect/>
                    </a:stretch>
                  </pic:blipFill>
                  <pic:spPr>
                    <a:xfrm>
                      <a:off x="0" y="0"/>
                      <a:ext cx="1574800" cy="1689100"/>
                    </a:xfrm>
                    <a:prstGeom prst="rect">
                      <a:avLst/>
                    </a:prstGeom>
                  </pic:spPr>
                </pic:pic>
              </a:graphicData>
            </a:graphic>
          </wp:anchor>
        </w:drawing>
      </w:r>
    </w:p>
    <w:p>
      <w:pPr>
        <w:pStyle w:val="Para 25"/>
      </w:pPr>
      <w:r>
        <w:t/>
      </w:r>
    </w:p>
    <w:p>
      <w:pPr>
        <w:pStyle w:val="Para 36"/>
      </w:pPr>
      <w:r>
        <w:t xml:space="preserve"> </w:t>
      </w:r>
    </w:p>
    <w:p>
      <w:pPr>
        <w:pStyle w:val="Para 25"/>
      </w:pPr>
      <w:r>
        <w:t/>
      </w:r>
    </w:p>
    <w:p>
      <w:pPr>
        <w:pStyle w:val="Para 10"/>
      </w:pPr>
      <w:r>
        <w:t xml:space="preserve">Figure 3.1: The user profile registry settings are loaded as HKEY_CURRENT_USER. </w:t>
      </w:r>
    </w:p>
    <w:p>
      <w:pPr>
        <w:pStyle w:val="Para 25"/>
      </w:pPr>
      <w:r>
        <w:t/>
      </w:r>
    </w:p>
    <w:p>
      <w:pPr>
        <w:pStyle w:val="Normal"/>
      </w:pPr>
      <w:r>
        <w:t xml:space="preserve">Profiles provide the ability for multiple users to work on the same computer. When each user </w:t>
      </w:r>
    </w:p>
    <w:p>
      <w:pPr>
        <w:pStyle w:val="Normal"/>
      </w:pPr>
      <w:r>
        <w:t xml:space="preserve">logs on, the user has the same desktop settings as were available the last time the user logged off. Another key benefit is that customizations made to the desktop environment affect only that of </w:t>
      </w:r>
    </w:p>
    <w:p>
      <w:pPr>
        <w:pStyle w:val="Normal"/>
      </w:pPr>
      <w:r>
        <w:t xml:space="preserve">the current user and not the environment of other users that might share the same computer. By </w:t>
      </w:r>
    </w:p>
    <w:p>
      <w:pPr>
        <w:pStyle w:val="Normal"/>
      </w:pPr>
      <w:r>
        <w:t xml:space="preserve">implementing roaming profiles, such settings and data can be stored on a server from which it </w:t>
      </w:r>
    </w:p>
    <w:p>
      <w:pPr>
        <w:pStyle w:val="Normal"/>
      </w:pPr>
      <w:r>
        <w:t xml:space="preserve">can be backed up and made available to users anywhere on the network.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43" name="index-65_2.png" descr="index-65_2.png"/>
            <wp:cNvGraphicFramePr>
              <a:graphicFrameLocks noChangeAspect="1"/>
            </wp:cNvGraphicFramePr>
            <a:graphic>
              <a:graphicData uri="http://schemas.openxmlformats.org/drawingml/2006/picture">
                <pic:pic>
                  <pic:nvPicPr>
                    <pic:cNvPr id="0" name="index-65_2.png" descr="index-65_2.png"/>
                    <pic:cNvPicPr/>
                  </pic:nvPicPr>
                  <pic:blipFill>
                    <a:blip r:embed="rId14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44" name="index-65_3.png" descr="index-65_3.png"/>
            <wp:cNvGraphicFramePr>
              <a:graphicFrameLocks noChangeAspect="1"/>
            </wp:cNvGraphicFramePr>
            <a:graphic>
              <a:graphicData uri="http://schemas.openxmlformats.org/drawingml/2006/picture">
                <pic:pic>
                  <pic:nvPicPr>
                    <pic:cNvPr id="0" name="index-65_3.png" descr="index-65_3.png"/>
                    <pic:cNvPicPr/>
                  </pic:nvPicPr>
                  <pic:blipFill>
                    <a:blip r:embed="rId148"/>
                    <a:stretch>
                      <a:fillRect/>
                    </a:stretch>
                  </pic:blipFill>
                  <pic:spPr>
                    <a:xfrm>
                      <a:off x="0" y="0"/>
                      <a:ext cx="914400" cy="444500"/>
                    </a:xfrm>
                    <a:prstGeom prst="rect">
                      <a:avLst/>
                    </a:prstGeom>
                  </pic:spPr>
                </pic:pic>
              </a:graphicData>
            </a:graphic>
          </wp:anchor>
        </w:drawing>
      </w:r>
    </w:p>
    <w:p>
      <w:pPr>
        <w:pStyle w:val="0 Block"/>
      </w:pPr>
    </w:p>
    <w:p>
      <w:bookmarkStart w:id="70" w:name="Chapter_3_2"/>
      <w:pPr>
        <w:pStyle w:val="Heading 1"/>
        <w:pageBreakBefore w:val="on"/>
      </w:pPr>
      <w:r>
        <w:t>Chapter 3</w:t>
      </w:r>
      <w:bookmarkEnd w:id="70"/>
    </w:p>
    <w:p>
      <w:pPr>
        <w:pStyle w:val="Para 25"/>
      </w:pPr>
      <w:r>
        <w:t/>
      </w:r>
    </w:p>
    <w:p>
      <w:pPr>
        <w:pStyle w:val="Normal"/>
      </w:pPr>
      <w:r>
        <w:t xml:space="preserve">As a means of profile recovery, Windows 95 uses a file named User.da0 and NT 4.0 uses a file </w:t>
      </w:r>
    </w:p>
    <w:p>
      <w:pPr>
        <w:pStyle w:val="Normal"/>
      </w:pPr>
      <w:r>
        <w:t xml:space="preserve">named Ntuser.dat.log. Although these files are similar, they provide slightly different </w:t>
      </w:r>
    </w:p>
    <w:p>
      <w:pPr>
        <w:pStyle w:val="Normal"/>
      </w:pPr>
      <w:r>
        <w:t xml:space="preserve">functionality. Windows 95 writes a copy of User.dat to User.da0 each time the user logs off as a simple backup copy. NT uses the Ntuser.dat.log file as a transaction log file, which allows for </w:t>
      </w:r>
    </w:p>
    <w:p>
      <w:pPr>
        <w:pStyle w:val="Normal"/>
      </w:pPr>
      <w:r>
        <w:t xml:space="preserve">fault tolerance in the event that a user profile must be recovered. </w:t>
      </w:r>
    </w:p>
    <w:p>
      <w:pPr>
        <w:pStyle w:val="Para 25"/>
      </w:pPr>
      <w:r>
        <w:t/>
      </w:r>
    </w:p>
    <w:p>
      <w:pPr>
        <w:pStyle w:val="Para 02"/>
      </w:pPr>
      <w:r>
        <w:t xml:space="preserve">See “Using Profiles with Multiple Versions of Windows” at the end of this chapter for information </w:t>
      </w:r>
    </w:p>
    <w:p>
      <w:pPr>
        <w:pStyle w:val="Para 02"/>
      </w:pPr>
      <w:r>
        <w:t xml:space="preserve">about the use of roaming profiles when logging onto multiple versions of Windows. </w:t>
      </w:r>
    </w:p>
    <w:p>
      <w:pPr>
        <w:pStyle w:val="Para 25"/>
      </w:pPr>
      <w:r>
        <w:t/>
      </w:r>
    </w:p>
    <w:p>
      <w:pPr>
        <w:pStyle w:val="Normal"/>
      </w:pPr>
      <w:r>
        <w:t xml:space="preserve">Windows provides four types of user profiles: local, roaming, mandatory, and temporary. In the </w:t>
      </w:r>
    </w:p>
    <w:p>
      <w:pPr>
        <w:pStyle w:val="Normal"/>
      </w:pPr>
      <w:r>
        <w:t xml:space="preserve">following sections, we will discuss the purpose of each as well as considerations for local and </w:t>
      </w:r>
    </w:p>
    <w:p>
      <w:pPr>
        <w:pStyle w:val="Normal"/>
      </w:pPr>
      <w:r>
        <w:t xml:space="preserve">roaming profiles to help you identify which implementation makes the most sense in your environment. </w:t>
      </w:r>
    </w:p>
    <w:p>
      <w:pPr>
        <w:pStyle w:val="Para 25"/>
      </w:pPr>
      <w:r>
        <w:t/>
      </w:r>
    </w:p>
    <w:p>
      <w:pPr>
        <w:pStyle w:val="Para 07"/>
      </w:pPr>
      <w:r>
        <w:t xml:space="preserve">Local Profiles </w:t>
      </w:r>
    </w:p>
    <w:p>
      <w:pPr>
        <w:pStyle w:val="Normal"/>
      </w:pPr>
      <w:r>
        <w:t xml:space="preserve">The first time a user logs on to an NT or later system, a local profile is created and stored locally </w:t>
      </w:r>
    </w:p>
    <w:p>
      <w:pPr>
        <w:pStyle w:val="Normal"/>
      </w:pPr>
      <w:r>
        <w:t xml:space="preserve">based on the default user profile (discussed later in this section). Changes made by the user are </w:t>
      </w:r>
    </w:p>
    <w:p>
      <w:pPr>
        <w:pStyle w:val="Normal"/>
      </w:pPr>
      <w:r>
        <w:t xml:space="preserve">saved and subsequent logons will make use of this same user profile (if it exists). Table 3.1 provides the default locations for user profiles. </w:t>
      </w:r>
    </w:p>
    <w:p>
      <w:pPr>
        <w:pStyle w:val="Para 25"/>
      </w:pPr>
      <w:r>
        <w:t/>
      </w:r>
    </w:p>
    <w:p>
      <w:pPr>
        <w:pStyle w:val="Para 18"/>
      </w:pPr>
      <w:r>
        <w:t xml:space="preserve">Windows Version </w:t>
      </w:r>
      <w:r>
        <w:rPr>
          <w:rStyle w:val="Text5"/>
        </w:rPr>
        <w:t xml:space="preserve"> </w:t>
      </w:r>
      <w:r>
        <w:t xml:space="preserve">Default Location </w:t>
      </w:r>
    </w:p>
    <w:p>
      <w:pPr>
        <w:pStyle w:val="Para 03"/>
      </w:pPr>
      <w:r>
        <w:t xml:space="preserve">Windows 95 </w:t>
      </w:r>
      <w:r>
        <w:rPr>
          <w:rStyle w:val="Text2"/>
        </w:rPr>
        <w:t xml:space="preserve"> </w:t>
      </w:r>
      <w:r>
        <w:t>\Windows\Profiles\</w:t>
      </w:r>
      <w:r>
        <w:rPr>
          <w:rStyle w:val="Text0"/>
        </w:rPr>
        <w:t>username</w:t>
      </w:r>
    </w:p>
    <w:p>
      <w:pPr>
        <w:pStyle w:val="Para 03"/>
      </w:pPr>
      <w:r>
        <w:t xml:space="preserve">Windows 98 </w:t>
      </w:r>
      <w:r>
        <w:rPr>
          <w:rStyle w:val="Text2"/>
        </w:rPr>
        <w:t xml:space="preserve"> </w:t>
      </w:r>
      <w:r>
        <w:t>\Windows\Profiles\</w:t>
      </w:r>
      <w:r>
        <w:rPr>
          <w:rStyle w:val="Text0"/>
        </w:rPr>
        <w:t>username</w:t>
      </w:r>
    </w:p>
    <w:p>
      <w:pPr>
        <w:pStyle w:val="Para 03"/>
      </w:pPr>
      <w:r>
        <w:t xml:space="preserve">Windows NT </w:t>
      </w:r>
      <w:r>
        <w:rPr>
          <w:rStyle w:val="Text2"/>
        </w:rPr>
        <w:t xml:space="preserve"> </w:t>
      </w:r>
      <w:r>
        <w:t>\WinNT\Profiles\</w:t>
      </w:r>
      <w:r>
        <w:rPr>
          <w:rStyle w:val="Text0"/>
        </w:rPr>
        <w:t>username</w:t>
      </w:r>
    </w:p>
    <w:p>
      <w:pPr>
        <w:pStyle w:val="Para 03"/>
      </w:pPr>
      <w:r>
        <w:t xml:space="preserve">Windows ME </w:t>
      </w:r>
      <w:r>
        <w:rPr>
          <w:rStyle w:val="Text2"/>
        </w:rPr>
        <w:t xml:space="preserve"> </w:t>
      </w:r>
      <w:r>
        <w:t>\Windows\Profiles\</w:t>
      </w:r>
      <w:r>
        <w:rPr>
          <w:rStyle w:val="Text0"/>
        </w:rPr>
        <w:t>username</w:t>
      </w:r>
    </w:p>
    <w:p>
      <w:pPr>
        <w:pStyle w:val="Para 03"/>
      </w:pPr>
      <w:r>
        <w:t xml:space="preserve">Windows 2000 * (English Language)** </w:t>
      </w:r>
      <w:r>
        <w:rPr>
          <w:rStyle w:val="Text2"/>
        </w:rPr>
        <w:t xml:space="preserve"> </w:t>
      </w:r>
      <w:r>
        <w:t>\Documents and Settings\</w:t>
      </w:r>
      <w:r>
        <w:rPr>
          <w:rStyle w:val="Text0"/>
        </w:rPr>
        <w:t>username</w:t>
      </w:r>
    </w:p>
    <w:p>
      <w:pPr>
        <w:pStyle w:val="Para 03"/>
      </w:pPr>
      <w:r>
        <w:t xml:space="preserve">Windows XP * (English Language)** </w:t>
      </w:r>
      <w:r>
        <w:rPr>
          <w:rStyle w:val="Text2"/>
        </w:rPr>
        <w:t xml:space="preserve"> </w:t>
      </w:r>
      <w:r>
        <w:t>\Documents and Settings\</w:t>
      </w:r>
      <w:r>
        <w:rPr>
          <w:rStyle w:val="Text0"/>
        </w:rPr>
        <w:t>username</w:t>
      </w:r>
    </w:p>
    <w:p>
      <w:pPr>
        <w:pStyle w:val="Para 01"/>
      </w:pPr>
      <w:r>
        <w:t xml:space="preserve">* If the installation is an upgrade from NT, user profile folders are stored in the same location as in NT. </w:t>
      </w:r>
    </w:p>
    <w:p>
      <w:pPr>
        <w:pStyle w:val="Para 25"/>
      </w:pPr>
      <w:r>
        <w:t/>
      </w:r>
    </w:p>
    <w:p>
      <w:pPr>
        <w:pStyle w:val="Para 01"/>
      </w:pPr>
      <w:r>
        <w:t xml:space="preserve">** The localized base profile path can be determined by reading the registry </w:t>
      </w:r>
    </w:p>
    <w:p>
      <w:pPr>
        <w:pStyle w:val="Para 25"/>
      </w:pPr>
      <w:r>
        <w:t/>
      </w:r>
    </w:p>
    <w:p>
      <w:pPr>
        <w:pStyle w:val="Para 10"/>
      </w:pPr>
      <w:r>
        <w:t xml:space="preserve">Table 3.1: User profile locations by Windows version. </w:t>
      </w:r>
    </w:p>
    <w:p>
      <w:pPr>
        <w:pStyle w:val="Para 25"/>
      </w:pPr>
      <w:r>
        <w:t/>
      </w:r>
    </w:p>
    <w:p>
      <w:pPr>
        <w:pStyle w:val="Normal"/>
      </w:pPr>
      <w:r>
        <w:t xml:space="preserve">Where a roaming profile is not found, local profiles are created and stored on each computer a </w:t>
      </w:r>
    </w:p>
    <w:p>
      <w:pPr>
        <w:pStyle w:val="Normal"/>
      </w:pPr>
      <w:r>
        <w:t xml:space="preserve">user logs onto. The settings remain for use next time the same user logs on. To have the same settings available to users logging onto multiple systems, you must implement roaming profiles.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45" name="index-66_1.png" descr="index-66_1.png"/>
            <wp:cNvGraphicFramePr>
              <a:graphicFrameLocks noChangeAspect="1"/>
            </wp:cNvGraphicFramePr>
            <a:graphic>
              <a:graphicData uri="http://schemas.openxmlformats.org/drawingml/2006/picture">
                <pic:pic>
                  <pic:nvPicPr>
                    <pic:cNvPr id="0" name="index-66_1.png" descr="index-66_1.png"/>
                    <pic:cNvPicPr/>
                  </pic:nvPicPr>
                  <pic:blipFill>
                    <a:blip r:embed="rId14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46" name="index-66_2.png" descr="index-66_2.png"/>
            <wp:cNvGraphicFramePr>
              <a:graphicFrameLocks noChangeAspect="1"/>
            </wp:cNvGraphicFramePr>
            <a:graphic>
              <a:graphicData uri="http://schemas.openxmlformats.org/drawingml/2006/picture">
                <pic:pic>
                  <pic:nvPicPr>
                    <pic:cNvPr id="0" name="index-66_2.png" descr="index-66_2.png"/>
                    <pic:cNvPicPr/>
                  </pic:nvPicPr>
                  <pic:blipFill>
                    <a:blip r:embed="rId150"/>
                    <a:stretch>
                      <a:fillRect/>
                    </a:stretch>
                  </pic:blipFill>
                  <pic:spPr>
                    <a:xfrm>
                      <a:off x="0" y="0"/>
                      <a:ext cx="914400" cy="444500"/>
                    </a:xfrm>
                    <a:prstGeom prst="rect">
                      <a:avLst/>
                    </a:prstGeom>
                  </pic:spPr>
                </pic:pic>
              </a:graphicData>
            </a:graphic>
          </wp:anchor>
        </w:drawing>
      </w:r>
    </w:p>
    <w:p>
      <w:pPr>
        <w:pStyle w:val="0 Block"/>
      </w:pPr>
    </w:p>
    <w:p>
      <w:bookmarkStart w:id="71" w:name="Chapter_3_3"/>
      <w:pPr>
        <w:pStyle w:val="Heading 1"/>
        <w:pageBreakBefore w:val="on"/>
      </w:pPr>
      <w:r>
        <w:t>Chapter 3</w:t>
      </w:r>
      <w:bookmarkEnd w:id="71"/>
    </w:p>
    <w:p>
      <w:pPr>
        <w:pStyle w:val="Para 25"/>
      </w:pPr>
      <w:r>
        <w:t/>
      </w:r>
    </w:p>
    <w:p>
      <w:pPr>
        <w:pStyle w:val="Para 07"/>
      </w:pPr>
      <w:r>
        <w:t xml:space="preserve">Roaming Profiles </w:t>
      </w:r>
    </w:p>
    <w:p>
      <w:pPr>
        <w:pStyle w:val="Normal"/>
      </w:pPr>
      <w:r>
        <w:t xml:space="preserve">Roaming profiles are copied down from the server (to the location as indicated in Table 3.1). </w:t>
      </w:r>
    </w:p>
    <w:p>
      <w:pPr>
        <w:pStyle w:val="Normal"/>
      </w:pPr>
      <w:r>
        <w:t xml:space="preserve">When a user who is using a roaming profile logs off, the profile is copied back up to a specified </w:t>
      </w:r>
    </w:p>
    <w:p>
      <w:pPr>
        <w:pStyle w:val="Normal"/>
      </w:pPr>
      <w:r>
        <w:t xml:space="preserve">share on the network. </w:t>
      </w:r>
    </w:p>
    <w:p>
      <w:pPr>
        <w:pStyle w:val="Para 25"/>
      </w:pPr>
      <w:r>
        <w:t/>
      </w:r>
    </w:p>
    <w:p>
      <w:pPr>
        <w:pStyle w:val="Normal"/>
      </w:pPr>
      <w:r>
        <w:t xml:space="preserve">The copying of the local profile to the network is determined by the file and object timestamps. Any files or objects in the local copy of the profile that have a different timestamp from the </w:t>
      </w:r>
    </w:p>
    <w:p>
      <w:pPr>
        <w:pStyle w:val="Normal"/>
      </w:pPr>
      <w:r>
        <w:t xml:space="preserve">corresponding file on the network are copied back to the target profile server location. At a </w:t>
      </w:r>
    </w:p>
    <w:p>
      <w:pPr>
        <w:pStyle w:val="Normal"/>
      </w:pPr>
      <w:r>
        <w:t xml:space="preserve">minimum, the Ntuser.dat and Ntuser.ini files are copied up to the server because the act of logging on and off the system will cause modification (and therefore a timestamp update) of </w:t>
      </w:r>
    </w:p>
    <w:p>
      <w:pPr>
        <w:pStyle w:val="Normal"/>
      </w:pPr>
      <w:r>
        <w:t xml:space="preserve">these files. </w:t>
      </w:r>
    </w:p>
    <w:p>
      <w:pPr>
        <w:pStyle w:val="Para 25"/>
      </w:pPr>
      <w:r>
        <w:t/>
      </w:r>
    </w:p>
    <w:p>
      <w:pPr>
        <w:pStyle w:val="Normal"/>
      </w:pPr>
      <w:r>
        <w:t xml:space="preserve">The following steps walk you through the procedure for managing users on a Win2K server. NT provides very similar functionality as it pertains to configuring roaming profiles through its User </w:t>
      </w:r>
    </w:p>
    <w:p>
      <w:pPr>
        <w:pStyle w:val="Normal"/>
      </w:pPr>
      <w:r>
        <w:t xml:space="preserve">Manager for Domains utility. </w:t>
      </w:r>
    </w:p>
    <w:p>
      <w:pPr>
        <w:pStyle w:val="Para 25"/>
      </w:pPr>
      <w:r>
        <w:t/>
      </w:r>
    </w:p>
    <w:p>
      <w:pPr>
        <w:pStyle w:val="Para 04"/>
      </w:pPr>
      <w:r>
        <w:rPr>
          <w:rStyle w:val="Text1"/>
        </w:rPr>
        <w:t xml:space="preserve">1. </w:t>
      </w:r>
      <w:r>
        <w:t xml:space="preserve">Set up and share a folder on a server. </w:t>
      </w:r>
    </w:p>
    <w:p>
      <w:pPr>
        <w:pStyle w:val="Para 25"/>
      </w:pPr>
      <w:r>
        <w:t/>
      </w:r>
    </w:p>
    <w:p>
      <w:pPr>
        <w:pStyle w:val="Para 04"/>
      </w:pPr>
      <w:r>
        <w:rPr>
          <w:rStyle w:val="Text1"/>
        </w:rPr>
        <w:t xml:space="preserve">2. </w:t>
      </w:r>
      <w:r>
        <w:t xml:space="preserve">Open the Active Directory Users and Computers snap-in, and navigate to the container in </w:t>
      </w:r>
    </w:p>
    <w:p>
      <w:pPr>
        <w:pStyle w:val="Para 01"/>
      </w:pPr>
      <w:r>
        <w:t xml:space="preserve">which the user account exists. </w:t>
      </w:r>
    </w:p>
    <w:p>
      <w:pPr>
        <w:pStyle w:val="Para 25"/>
      </w:pPr>
      <w:r>
        <w:t/>
      </w:r>
    </w:p>
    <w:p>
      <w:pPr>
        <w:pStyle w:val="Para 04"/>
      </w:pPr>
      <w:r>
        <w:rPr>
          <w:rStyle w:val="Text1"/>
        </w:rPr>
        <w:t xml:space="preserve">3. </w:t>
      </w:r>
      <w:r>
        <w:t xml:space="preserve">Right-click the user’s name, and select Properties. </w:t>
      </w:r>
    </w:p>
    <w:p>
      <w:pPr>
        <w:pStyle w:val="Para 25"/>
      </w:pPr>
      <w:r>
        <w:t/>
      </w:r>
    </w:p>
    <w:p>
      <w:pPr>
        <w:pStyle w:val="Para 04"/>
      </w:pPr>
      <w:r>
        <w:rPr>
          <w:rStyle w:val="Text1"/>
        </w:rPr>
        <w:t xml:space="preserve">4. </w:t>
      </w:r>
      <w:r>
        <w:t xml:space="preserve">Select the Profile tab (see Figure 3.3). </w:t>
      </w:r>
    </w:p>
    <w:p>
      <w:pPr>
        <w:pStyle w:val="Para 25"/>
      </w:pPr>
      <w:r>
        <w:t/>
      </w:r>
    </w:p>
    <w:p>
      <w:pPr>
        <w:pStyle w:val="Para 04"/>
      </w:pPr>
      <w:r>
        <w:rPr>
          <w:rStyle w:val="Text1"/>
        </w:rPr>
        <w:t xml:space="preserve">5. </w:t>
      </w:r>
      <w:r>
        <w:t xml:space="preserve">For the profile path, input the path to the network share where the user profiles will be </w:t>
      </w:r>
    </w:p>
    <w:p>
      <w:pPr>
        <w:pStyle w:val="Para 01"/>
      </w:pPr>
      <w:r>
        <w:t xml:space="preserve">stored (for example, \\ServerName\ShareName\UserName).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47" name="index-67_1.png" descr="index-67_1.png"/>
            <wp:cNvGraphicFramePr>
              <a:graphicFrameLocks noChangeAspect="1"/>
            </wp:cNvGraphicFramePr>
            <a:graphic>
              <a:graphicData uri="http://schemas.openxmlformats.org/drawingml/2006/picture">
                <pic:pic>
                  <pic:nvPicPr>
                    <pic:cNvPr id="0" name="index-67_1.png" descr="index-67_1.png"/>
                    <pic:cNvPicPr/>
                  </pic:nvPicPr>
                  <pic:blipFill>
                    <a:blip r:embed="rId15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48" name="index-67_2.png" descr="index-67_2.png"/>
            <wp:cNvGraphicFramePr>
              <a:graphicFrameLocks noChangeAspect="1"/>
            </wp:cNvGraphicFramePr>
            <a:graphic>
              <a:graphicData uri="http://schemas.openxmlformats.org/drawingml/2006/picture">
                <pic:pic>
                  <pic:nvPicPr>
                    <pic:cNvPr id="0" name="index-67_2.png" descr="index-67_2.png"/>
                    <pic:cNvPicPr/>
                  </pic:nvPicPr>
                  <pic:blipFill>
                    <a:blip r:embed="rId152"/>
                    <a:stretch>
                      <a:fillRect/>
                    </a:stretch>
                  </pic:blipFill>
                  <pic:spPr>
                    <a:xfrm>
                      <a:off x="0" y="0"/>
                      <a:ext cx="914400" cy="444500"/>
                    </a:xfrm>
                    <a:prstGeom prst="rect">
                      <a:avLst/>
                    </a:prstGeom>
                  </pic:spPr>
                </pic:pic>
              </a:graphicData>
            </a:graphic>
          </wp:anchor>
        </w:drawing>
      </w:r>
    </w:p>
    <w:p>
      <w:pPr>
        <w:pStyle w:val="0 Block"/>
      </w:pPr>
    </w:p>
    <w:p>
      <w:bookmarkStart w:id="72" w:name="Chapter_3_4"/>
      <w:pPr>
        <w:pStyle w:val="Heading 1"/>
        <w:pageBreakBefore w:val="on"/>
      </w:pPr>
      <w:r>
        <w:t>Chapter 3</w:t>
      </w:r>
      <w:bookmarkEnd w:id="7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63800" cy="2959100"/>
            <wp:effectExtent l="0" r="0" t="0" b="0"/>
            <wp:wrapTopAndBottom/>
            <wp:docPr id="149" name="index-68_1.png" descr="index-68_1.png"/>
            <wp:cNvGraphicFramePr>
              <a:graphicFrameLocks noChangeAspect="1"/>
            </wp:cNvGraphicFramePr>
            <a:graphic>
              <a:graphicData uri="http://schemas.openxmlformats.org/drawingml/2006/picture">
                <pic:pic>
                  <pic:nvPicPr>
                    <pic:cNvPr id="0" name="index-68_1.png" descr="index-68_1.png"/>
                    <pic:cNvPicPr/>
                  </pic:nvPicPr>
                  <pic:blipFill>
                    <a:blip r:embed="rId153"/>
                    <a:stretch>
                      <a:fillRect/>
                    </a:stretch>
                  </pic:blipFill>
                  <pic:spPr>
                    <a:xfrm>
                      <a:off x="0" y="0"/>
                      <a:ext cx="2463800" cy="2959100"/>
                    </a:xfrm>
                    <a:prstGeom prst="rect">
                      <a:avLst/>
                    </a:prstGeom>
                  </pic:spPr>
                </pic:pic>
              </a:graphicData>
            </a:graphic>
          </wp:anchor>
        </w:drawing>
      </w:r>
    </w:p>
    <w:p>
      <w:pPr>
        <w:pStyle w:val="Para 25"/>
      </w:pPr>
      <w:r>
        <w:t/>
      </w:r>
    </w:p>
    <w:p>
      <w:pPr>
        <w:pStyle w:val="Para 28"/>
      </w:pPr>
      <w:r>
        <w:t xml:space="preserve"> </w:t>
      </w:r>
    </w:p>
    <w:p>
      <w:pPr>
        <w:pStyle w:val="Para 25"/>
      </w:pPr>
      <w:r>
        <w:t/>
      </w:r>
    </w:p>
    <w:p>
      <w:pPr>
        <w:pStyle w:val="Para 10"/>
      </w:pPr>
      <w:r>
        <w:t xml:space="preserve">Figure 3.3: The Profile tab in Win2K Active Directory Users and Computers. </w:t>
      </w:r>
    </w:p>
    <w:p>
      <w:pPr>
        <w:pStyle w:val="Para 25"/>
      </w:pPr>
      <w:r>
        <w:t/>
      </w:r>
    </w:p>
    <w:p>
      <w:pPr>
        <w:pStyle w:val="Normal"/>
      </w:pPr>
      <w:r>
        <w:t xml:space="preserve">To create the roaming profile share, create and share a folder as the root folder for storing user </w:t>
      </w:r>
    </w:p>
    <w:p>
      <w:pPr>
        <w:pStyle w:val="Normal"/>
      </w:pPr>
      <w:r>
        <w:t xml:space="preserve">profiles. Append a dollar sign ($) to the share name if you would like it hidden from users browsing the network (\\server/roaming$). Set the NTFS and Share level security to allow all </w:t>
      </w:r>
    </w:p>
    <w:p>
      <w:pPr>
        <w:pStyle w:val="Normal"/>
      </w:pPr>
      <w:r>
        <w:t xml:space="preserve">users access to the share (the default security will be to allow full control to the Everyone group). </w:t>
      </w:r>
    </w:p>
    <w:p>
      <w:pPr>
        <w:pStyle w:val="Normal"/>
      </w:pPr>
      <w:r>
        <w:t xml:space="preserve">In the user profile, enter the share path using the local path to the share and entering the username as the folder (for example, \\server\roaming$\bkelly). The roaming user profile </w:t>
      </w:r>
    </w:p>
    <w:p>
      <w:pPr>
        <w:pStyle w:val="Normal"/>
      </w:pPr>
      <w:r>
        <w:t xml:space="preserve">directory will be created when the user first logs onto the domain (as opposed to user home </w:t>
      </w:r>
    </w:p>
    <w:p>
      <w:pPr>
        <w:pStyle w:val="Normal"/>
      </w:pPr>
      <w:r>
        <w:t xml:space="preserve">directories, which are created at the time they are specified). </w:t>
      </w:r>
    </w:p>
    <w:p>
      <w:pPr>
        <w:pStyle w:val="Para 25"/>
      </w:pPr>
      <w:r>
        <w:t/>
      </w:r>
    </w:p>
    <w:p>
      <w:pPr>
        <w:pStyle w:val="Para 02"/>
      </w:pPr>
      <w:r>
        <w:t xml:space="preserve">The profile share can be stored on any system. The process of downloading the profile is controlled </w:t>
      </w:r>
    </w:p>
    <w:p>
      <w:pPr>
        <w:pStyle w:val="Para 02"/>
      </w:pPr>
      <w:r>
        <w:t xml:space="preserve">by the client computer—all the client needs is the correct path. However, it is strongly recommended </w:t>
      </w:r>
    </w:p>
    <w:p>
      <w:pPr>
        <w:pStyle w:val="Para 02"/>
      </w:pPr>
      <w:r>
        <w:t xml:space="preserve">that you use a server as opposed to a workstation for this purpose. One big reason is that NT </w:t>
      </w:r>
    </w:p>
    <w:p>
      <w:pPr>
        <w:pStyle w:val="Para 02"/>
      </w:pPr>
      <w:r>
        <w:t xml:space="preserve">Workstation, Win2K Professional, and Windows XP all have a limitation of 10 inbound network </w:t>
      </w:r>
    </w:p>
    <w:p>
      <w:pPr>
        <w:pStyle w:val="Para 02"/>
      </w:pPr>
      <w:r>
        <w:t xml:space="preserve">connections. However you may use a network attached storage (NAS) device or UNIX server share.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50" name="index-68_2.png" descr="index-68_2.png"/>
            <wp:cNvGraphicFramePr>
              <a:graphicFrameLocks noChangeAspect="1"/>
            </wp:cNvGraphicFramePr>
            <a:graphic>
              <a:graphicData uri="http://schemas.openxmlformats.org/drawingml/2006/picture">
                <pic:pic>
                  <pic:nvPicPr>
                    <pic:cNvPr id="0" name="index-68_2.png" descr="index-68_2.png"/>
                    <pic:cNvPicPr/>
                  </pic:nvPicPr>
                  <pic:blipFill>
                    <a:blip r:embed="rId15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51" name="index-68_3.png" descr="index-68_3.png"/>
            <wp:cNvGraphicFramePr>
              <a:graphicFrameLocks noChangeAspect="1"/>
            </wp:cNvGraphicFramePr>
            <a:graphic>
              <a:graphicData uri="http://schemas.openxmlformats.org/drawingml/2006/picture">
                <pic:pic>
                  <pic:nvPicPr>
                    <pic:cNvPr id="0" name="index-68_3.png" descr="index-68_3.png"/>
                    <pic:cNvPicPr/>
                  </pic:nvPicPr>
                  <pic:blipFill>
                    <a:blip r:embed="rId155"/>
                    <a:stretch>
                      <a:fillRect/>
                    </a:stretch>
                  </pic:blipFill>
                  <pic:spPr>
                    <a:xfrm>
                      <a:off x="0" y="0"/>
                      <a:ext cx="914400" cy="444500"/>
                    </a:xfrm>
                    <a:prstGeom prst="rect">
                      <a:avLst/>
                    </a:prstGeom>
                  </pic:spPr>
                </pic:pic>
              </a:graphicData>
            </a:graphic>
          </wp:anchor>
        </w:drawing>
      </w:r>
    </w:p>
    <w:p>
      <w:pPr>
        <w:pStyle w:val="0 Block"/>
      </w:pPr>
    </w:p>
    <w:p>
      <w:bookmarkStart w:id="73" w:name="Chapter_3_5"/>
      <w:pPr>
        <w:pStyle w:val="Heading 1"/>
        <w:pageBreakBefore w:val="on"/>
      </w:pPr>
      <w:r>
        <w:t>Chapter 3</w:t>
      </w:r>
      <w:bookmarkEnd w:id="73"/>
    </w:p>
    <w:p>
      <w:pPr>
        <w:pStyle w:val="Para 25"/>
      </w:pPr>
      <w:r>
        <w:t/>
      </w:r>
    </w:p>
    <w:p>
      <w:pPr>
        <w:pStyle w:val="Para 02"/>
      </w:pPr>
      <w:r>
        <w:t xml:space="preserve">You should not specify the same location for the user’s profile and home directory. If you do so, all </w:t>
      </w:r>
    </w:p>
    <w:p>
      <w:pPr>
        <w:pStyle w:val="Para 02"/>
      </w:pPr>
      <w:r>
        <w:t xml:space="preserve">files that the user stores in his or her home directory will be copied up and down from the server in </w:t>
      </w:r>
    </w:p>
    <w:p>
      <w:pPr>
        <w:pStyle w:val="Para 02"/>
      </w:pPr>
      <w:r>
        <w:t xml:space="preserve">the profile copy process. If you want to use the same share, specify the roaming profile (as opposed </w:t>
      </w:r>
    </w:p>
    <w:p>
      <w:pPr>
        <w:pStyle w:val="Para 02"/>
      </w:pPr>
      <w:r>
        <w:t xml:space="preserve">to the root of the share) as a subdirectory in the user’s home share to avoid this situation. </w:t>
      </w:r>
    </w:p>
    <w:p>
      <w:pPr>
        <w:pStyle w:val="Para 25"/>
      </w:pPr>
      <w:r>
        <w:t/>
      </w:r>
    </w:p>
    <w:p>
      <w:pPr>
        <w:pStyle w:val="Normal"/>
      </w:pPr>
      <w:r>
        <w:t xml:space="preserve">When logged onto more than one system at a time, it is the system you last log off of that will dictate the contents of your roaming profile. To demonstrate this idea, the following steps walk </w:t>
      </w:r>
    </w:p>
    <w:p>
      <w:pPr>
        <w:pStyle w:val="Normal"/>
      </w:pPr>
      <w:r>
        <w:t xml:space="preserve">you through an example scenario. In addition, Figure 3.4 helps to illustrate the situation. </w:t>
      </w:r>
    </w:p>
    <w:p>
      <w:pPr>
        <w:pStyle w:val="Para 25"/>
      </w:pPr>
      <w:r>
        <w:t/>
      </w:r>
    </w:p>
    <w:p>
      <w:pPr>
        <w:pStyle w:val="Para 04"/>
      </w:pPr>
      <w:r>
        <w:rPr>
          <w:rStyle w:val="Text1"/>
        </w:rPr>
        <w:t xml:space="preserve">1. </w:t>
      </w:r>
      <w:r>
        <w:t xml:space="preserve">On COMPUTER1, you install software while logged onto both COMPUTER1 and </w:t>
      </w:r>
    </w:p>
    <w:p>
      <w:pPr>
        <w:pStyle w:val="Para 01"/>
      </w:pPr>
      <w:r>
        <w:t xml:space="preserve">COMPUTER2. This software installs required registry keys in your profile (such as </w:t>
      </w:r>
    </w:p>
    <w:p>
      <w:pPr>
        <w:pStyle w:val="Para 01"/>
      </w:pPr>
      <w:r>
        <w:t xml:space="preserve">licensing information). </w:t>
      </w:r>
    </w:p>
    <w:p>
      <w:pPr>
        <w:pStyle w:val="Para 25"/>
      </w:pPr>
      <w:r>
        <w:t/>
      </w:r>
    </w:p>
    <w:p>
      <w:pPr>
        <w:pStyle w:val="Para 04"/>
      </w:pPr>
      <w:r>
        <w:rPr>
          <w:rStyle w:val="Text1"/>
        </w:rPr>
        <w:t xml:space="preserve">2. </w:t>
      </w:r>
      <w:r>
        <w:t xml:space="preserve">You log off of COMPUTER1, and your profile information is copied to the server as </w:t>
      </w:r>
    </w:p>
    <w:p>
      <w:pPr>
        <w:pStyle w:val="Para 01"/>
      </w:pPr>
      <w:r>
        <w:t xml:space="preserve">expected. </w:t>
      </w:r>
    </w:p>
    <w:p>
      <w:pPr>
        <w:pStyle w:val="Para 25"/>
      </w:pPr>
      <w:r>
        <w:t/>
      </w:r>
    </w:p>
    <w:p>
      <w:pPr>
        <w:pStyle w:val="Para 04"/>
      </w:pPr>
      <w:r>
        <w:rPr>
          <w:rStyle w:val="Text1"/>
        </w:rPr>
        <w:t xml:space="preserve">3. </w:t>
      </w:r>
      <w:r>
        <w:t xml:space="preserve">You now log off of COMPUTER2, the registry entries and other profile changes that </w:t>
      </w:r>
    </w:p>
    <w:p>
      <w:pPr>
        <w:pStyle w:val="Para 01"/>
      </w:pPr>
      <w:r>
        <w:t xml:space="preserve">might have been made during the software installation on COMPUTER1 are lost when </w:t>
      </w:r>
    </w:p>
    <w:p>
      <w:pPr>
        <w:pStyle w:val="Para 01"/>
      </w:pPr>
      <w:r>
        <w:t xml:space="preserve">COMPUTER2 copies its version of the user profile over the profile copied up by COMPUTER1. </w:t>
      </w:r>
    </w:p>
    <w:p>
      <w:pPr>
        <w:pStyle w:val="Para 25"/>
      </w:pPr>
      <w:r>
        <w:t/>
      </w:r>
    </w:p>
    <w:p>
      <w:pPr>
        <w:pStyle w:val="Para 04"/>
      </w:pPr>
      <w:r>
        <w:rPr>
          <w:rStyle w:val="Text1"/>
        </w:rPr>
        <w:t xml:space="preserve">4. </w:t>
      </w:r>
      <w:r>
        <w:t xml:space="preserve">You log onto COMPUTER1, and the copy of your profile that does not know about the </w:t>
      </w:r>
    </w:p>
    <w:p>
      <w:pPr>
        <w:pStyle w:val="Para 01"/>
      </w:pPr>
      <w:r>
        <w:t xml:space="preserve">software installation is copied down to the local machine. </w:t>
      </w:r>
    </w:p>
    <w:p>
      <w:pPr>
        <w:pStyle w:val="Para 25"/>
      </w:pPr>
      <w:r>
        <w:t/>
      </w:r>
    </w:p>
    <w:p>
      <w:pPr>
        <w:pStyle w:val="Para 13"/>
      </w:pPr>
      <w:r>
        <w:t xml:space="preserve"> </w:t>
      </w:r>
    </w:p>
    <w:p>
      <w:pPr>
        <w:pStyle w:val="Para 25"/>
      </w:pPr>
      <w:r>
        <w:t/>
      </w:r>
    </w:p>
    <w:p>
      <w:pPr>
        <w:pStyle w:val="Para 10"/>
      </w:pPr>
      <w:r>
        <w:t xml:space="preserve">Figure 3.4: Multiple logons and roaming profiles can be a troublesome combination.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52" name="index-69_1.png" descr="index-69_1.png"/>
            <wp:cNvGraphicFramePr>
              <a:graphicFrameLocks noChangeAspect="1"/>
            </wp:cNvGraphicFramePr>
            <a:graphic>
              <a:graphicData uri="http://schemas.openxmlformats.org/drawingml/2006/picture">
                <pic:pic>
                  <pic:nvPicPr>
                    <pic:cNvPr id="0" name="index-69_1.png" descr="index-69_1.png"/>
                    <pic:cNvPicPr/>
                  </pic:nvPicPr>
                  <pic:blipFill>
                    <a:blip r:embed="rId15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53" name="index-69_2.png" descr="index-69_2.png"/>
            <wp:cNvGraphicFramePr>
              <a:graphicFrameLocks noChangeAspect="1"/>
            </wp:cNvGraphicFramePr>
            <a:graphic>
              <a:graphicData uri="http://schemas.openxmlformats.org/drawingml/2006/picture">
                <pic:pic>
                  <pic:nvPicPr>
                    <pic:cNvPr id="0" name="index-69_2.png" descr="index-69_2.png"/>
                    <pic:cNvPicPr/>
                  </pic:nvPicPr>
                  <pic:blipFill>
                    <a:blip r:embed="rId157"/>
                    <a:stretch>
                      <a:fillRect/>
                    </a:stretch>
                  </pic:blipFill>
                  <pic:spPr>
                    <a:xfrm>
                      <a:off x="0" y="0"/>
                      <a:ext cx="914400" cy="444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06700" cy="2336800"/>
            <wp:effectExtent l="0" r="0" t="0" b="0"/>
            <wp:wrapTopAndBottom/>
            <wp:docPr id="154" name="index-69_3.png" descr="index-69_3.png"/>
            <wp:cNvGraphicFramePr>
              <a:graphicFrameLocks noChangeAspect="1"/>
            </wp:cNvGraphicFramePr>
            <a:graphic>
              <a:graphicData uri="http://schemas.openxmlformats.org/drawingml/2006/picture">
                <pic:pic>
                  <pic:nvPicPr>
                    <pic:cNvPr id="0" name="index-69_3.png" descr="index-69_3.png"/>
                    <pic:cNvPicPr/>
                  </pic:nvPicPr>
                  <pic:blipFill>
                    <a:blip r:embed="rId158"/>
                    <a:stretch>
                      <a:fillRect/>
                    </a:stretch>
                  </pic:blipFill>
                  <pic:spPr>
                    <a:xfrm>
                      <a:off x="0" y="0"/>
                      <a:ext cx="2806700" cy="2336800"/>
                    </a:xfrm>
                    <a:prstGeom prst="rect">
                      <a:avLst/>
                    </a:prstGeom>
                  </pic:spPr>
                </pic:pic>
              </a:graphicData>
            </a:graphic>
          </wp:anchor>
        </w:drawing>
      </w:r>
    </w:p>
    <w:p>
      <w:pPr>
        <w:pStyle w:val="0 Block"/>
      </w:pPr>
    </w:p>
    <w:p>
      <w:bookmarkStart w:id="74" w:name="Chapter_3_6"/>
      <w:pPr>
        <w:pStyle w:val="Heading 1"/>
        <w:pageBreakBefore w:val="on"/>
      </w:pPr>
      <w:r>
        <w:t>Chapter 3</w:t>
      </w:r>
      <w:bookmarkEnd w:id="74"/>
    </w:p>
    <w:p>
      <w:pPr>
        <w:pStyle w:val="Para 25"/>
      </w:pPr>
      <w:r>
        <w:t/>
      </w:r>
    </w:p>
    <w:p>
      <w:pPr>
        <w:pStyle w:val="Normal"/>
      </w:pPr>
      <w:r>
        <w:t>Additionally, roaming profiles do not work well over slow network links. In fact, Microsoft does</w:t>
      </w:r>
    </w:p>
    <w:p>
      <w:pPr>
        <w:pStyle w:val="Normal"/>
      </w:pPr>
      <w:r>
        <w:t xml:space="preserve">not recommend using roaming profiles across a slow network link at all. Aside from extending </w:t>
      </w:r>
    </w:p>
    <w:p>
      <w:pPr>
        <w:pStyle w:val="Normal"/>
      </w:pPr>
      <w:r>
        <w:t xml:space="preserve">logon and logoff periods, the risk of unsynchronized profiles increases. </w:t>
      </w:r>
    </w:p>
    <w:p>
      <w:pPr>
        <w:pStyle w:val="Para 25"/>
      </w:pPr>
      <w:r>
        <w:t/>
      </w:r>
    </w:p>
    <w:p>
      <w:pPr>
        <w:pStyle w:val="Normal"/>
      </w:pPr>
      <w:r>
        <w:t xml:space="preserve">One example of how slow network links can be trouble for roaming profiles occurs when a user </w:t>
      </w:r>
    </w:p>
    <w:p>
      <w:pPr>
        <w:pStyle w:val="Normal"/>
      </w:pPr>
      <w:r>
        <w:t xml:space="preserve">logs on via a network connection that is slow enough to cause Windows to time out during the </w:t>
      </w:r>
    </w:p>
    <w:p>
      <w:pPr>
        <w:pStyle w:val="Normal"/>
      </w:pPr>
      <w:r>
        <w:t xml:space="preserve">logon process. Windows instead uses the local profile (if the user doesn’t have a local profile, one is created using the default user profile). If the remote server becomes available when the </w:t>
      </w:r>
    </w:p>
    <w:p>
      <w:pPr>
        <w:pStyle w:val="Normal"/>
      </w:pPr>
      <w:r>
        <w:t xml:space="preserve">session ends, Windows will copy the local profile up over the roaming profile on the server. </w:t>
      </w:r>
    </w:p>
    <w:p>
      <w:pPr>
        <w:pStyle w:val="Para 25"/>
      </w:pPr>
      <w:r>
        <w:t/>
      </w:r>
    </w:p>
    <w:p>
      <w:pPr>
        <w:pStyle w:val="Para 02"/>
      </w:pPr>
      <w:r>
        <w:t xml:space="preserve">NT and earlier versions of Windows detect slow links by measuring the time it takes the server to </w:t>
      </w:r>
    </w:p>
    <w:p>
      <w:pPr>
        <w:pStyle w:val="Para 02"/>
      </w:pPr>
      <w:r>
        <w:t xml:space="preserve">respond to a request for the file attributes of the profile. This action is timed and compared with the </w:t>
      </w:r>
    </w:p>
    <w:p>
      <w:pPr>
        <w:pStyle w:val="Para 02"/>
      </w:pPr>
      <w:r>
        <w:t xml:space="preserve">value determining a slow network. </w:t>
      </w:r>
    </w:p>
    <w:p>
      <w:pPr>
        <w:pStyle w:val="Para 02"/>
      </w:pPr>
      <w:r>
        <w:t>Win2K and Windows XP determine whether there is a slow link by measuring the response time from</w:t>
      </w:r>
    </w:p>
    <w:p>
      <w:pPr>
        <w:pStyle w:val="Para 02"/>
      </w:pPr>
      <w:r>
        <w:t xml:space="preserve">a sequence of TCP/IP pings from the client computer to the server to determine the average transfer </w:t>
      </w:r>
    </w:p>
    <w:p>
      <w:pPr>
        <w:pStyle w:val="Para 02"/>
      </w:pPr>
      <w:r>
        <w:t xml:space="preserve">rate in kilobits per second. If the response time from any of the pings is less than 10 milliseconds, the </w:t>
      </w:r>
    </w:p>
    <w:p>
      <w:pPr>
        <w:pStyle w:val="Para 02"/>
      </w:pPr>
      <w:r>
        <w:t xml:space="preserve">link is not considered to be a slow one. Otherwise, the average transfer rate is calculated from three </w:t>
      </w:r>
    </w:p>
    <w:p>
      <w:pPr>
        <w:pStyle w:val="Para 02"/>
      </w:pPr>
      <w:r>
        <w:t xml:space="preserve">ping requests to the server with 2048 bytes of data. If this calculated average transfer rate is slower </w:t>
      </w:r>
    </w:p>
    <w:p>
      <w:pPr>
        <w:pStyle w:val="Para 02"/>
      </w:pPr>
      <w:r>
        <w:t xml:space="preserve">than the default (2000 milliseconds) or a value defined by the administrator, the connection is </w:t>
      </w:r>
    </w:p>
    <w:p>
      <w:pPr>
        <w:pStyle w:val="Para 02"/>
      </w:pPr>
      <w:r>
        <w:t xml:space="preserve">considered slow. The formula used in Win2K is </w:t>
      </w:r>
    </w:p>
    <w:p>
      <w:pPr>
        <w:pStyle w:val="Para 02"/>
      </w:pPr>
      <w:r>
        <w:t xml:space="preserve">link speed=16000/(average ping for 2048 byte packet) </w:t>
      </w:r>
    </w:p>
    <w:p>
      <w:pPr>
        <w:pStyle w:val="Para 14"/>
      </w:pPr>
      <w:r>
        <w:t xml:space="preserve"> Roaming user profiles are not required to be stored on a server on which TCP/IP is an installed </w:t>
      </w:r>
    </w:p>
    <w:p>
      <w:pPr>
        <w:pStyle w:val="Para 02"/>
      </w:pPr>
      <w:r>
        <w:t xml:space="preserve">protocol. This method of pinging the server is attempted, and if the server is identified as not </w:t>
      </w:r>
    </w:p>
    <w:p>
      <w:pPr>
        <w:pStyle w:val="Para 02"/>
      </w:pPr>
      <w:r>
        <w:t xml:space="preserve">supporting the TCP/IP network protocol, it uses the method used by NT 4.0 and earlier versions. </w:t>
      </w:r>
    </w:p>
    <w:p>
      <w:pPr>
        <w:pStyle w:val="Para 25"/>
      </w:pPr>
      <w:r>
        <w:t/>
      </w:r>
    </w:p>
    <w:p>
      <w:pPr>
        <w:pStyle w:val="Normal"/>
      </w:pPr>
      <w:r>
        <w:t xml:space="preserve">By default, roaming profiles are stored on the system and remain until used again or manually deleted. You can, however, set policies to have roaming profiles removed from workstations if </w:t>
      </w:r>
    </w:p>
    <w:p>
      <w:pPr>
        <w:pStyle w:val="Normal"/>
      </w:pPr>
      <w:r>
        <w:t xml:space="preserve">you desire using System Policies for NT and earlier (see Figure 3.5) or Group Policy for Win2K </w:t>
      </w:r>
    </w:p>
    <w:p>
      <w:pPr>
        <w:pStyle w:val="Normal"/>
      </w:pPr>
      <w:r>
        <w:t xml:space="preserve">and later.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55" name="index-70_1.png" descr="index-70_1.png"/>
            <wp:cNvGraphicFramePr>
              <a:graphicFrameLocks noChangeAspect="1"/>
            </wp:cNvGraphicFramePr>
            <a:graphic>
              <a:graphicData uri="http://schemas.openxmlformats.org/drawingml/2006/picture">
                <pic:pic>
                  <pic:nvPicPr>
                    <pic:cNvPr id="0" name="index-70_1.png" descr="index-70_1.png"/>
                    <pic:cNvPicPr/>
                  </pic:nvPicPr>
                  <pic:blipFill>
                    <a:blip r:embed="rId15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56" name="index-70_2.png" descr="index-70_2.png"/>
            <wp:cNvGraphicFramePr>
              <a:graphicFrameLocks noChangeAspect="1"/>
            </wp:cNvGraphicFramePr>
            <a:graphic>
              <a:graphicData uri="http://schemas.openxmlformats.org/drawingml/2006/picture">
                <pic:pic>
                  <pic:nvPicPr>
                    <pic:cNvPr id="0" name="index-70_2.png" descr="index-70_2.png"/>
                    <pic:cNvPicPr/>
                  </pic:nvPicPr>
                  <pic:blipFill>
                    <a:blip r:embed="rId160"/>
                    <a:stretch>
                      <a:fillRect/>
                    </a:stretch>
                  </pic:blipFill>
                  <pic:spPr>
                    <a:xfrm>
                      <a:off x="0" y="0"/>
                      <a:ext cx="914400" cy="444500"/>
                    </a:xfrm>
                    <a:prstGeom prst="rect">
                      <a:avLst/>
                    </a:prstGeom>
                  </pic:spPr>
                </pic:pic>
              </a:graphicData>
            </a:graphic>
          </wp:anchor>
        </w:drawing>
      </w:r>
    </w:p>
    <w:p>
      <w:pPr>
        <w:pStyle w:val="0 Block"/>
      </w:pPr>
    </w:p>
    <w:p>
      <w:bookmarkStart w:id="75" w:name="Chapter_3_7"/>
      <w:pPr>
        <w:pStyle w:val="Heading 1"/>
        <w:pageBreakBefore w:val="on"/>
      </w:pPr>
      <w:r>
        <w:t>Chapter 3</w:t>
      </w:r>
      <w:bookmarkEnd w:id="7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2717800"/>
            <wp:effectExtent l="0" r="0" t="0" b="0"/>
            <wp:wrapTopAndBottom/>
            <wp:docPr id="157" name="index-71_1.png" descr="index-71_1.png"/>
            <wp:cNvGraphicFramePr>
              <a:graphicFrameLocks noChangeAspect="1"/>
            </wp:cNvGraphicFramePr>
            <a:graphic>
              <a:graphicData uri="http://schemas.openxmlformats.org/drawingml/2006/picture">
                <pic:pic>
                  <pic:nvPicPr>
                    <pic:cNvPr id="0" name="index-71_1.png" descr="index-71_1.png"/>
                    <pic:cNvPicPr/>
                  </pic:nvPicPr>
                  <pic:blipFill>
                    <a:blip r:embed="rId161"/>
                    <a:stretch>
                      <a:fillRect/>
                    </a:stretch>
                  </pic:blipFill>
                  <pic:spPr>
                    <a:xfrm>
                      <a:off x="0" y="0"/>
                      <a:ext cx="2349500" cy="2717800"/>
                    </a:xfrm>
                    <a:prstGeom prst="rect">
                      <a:avLst/>
                    </a:prstGeom>
                  </pic:spPr>
                </pic:pic>
              </a:graphicData>
            </a:graphic>
          </wp:anchor>
        </w:drawing>
      </w:r>
    </w:p>
    <w:p>
      <w:pPr>
        <w:pStyle w:val="Para 25"/>
      </w:pPr>
      <w:r>
        <w:t/>
      </w:r>
    </w:p>
    <w:p>
      <w:pPr>
        <w:pStyle w:val="Para 24"/>
      </w:pPr>
      <w:r>
        <w:t xml:space="preserve"> </w:t>
      </w:r>
    </w:p>
    <w:p>
      <w:pPr>
        <w:pStyle w:val="Para 25"/>
      </w:pPr>
      <w:r>
        <w:t/>
      </w:r>
    </w:p>
    <w:p>
      <w:pPr>
        <w:pStyle w:val="Para 10"/>
      </w:pPr>
      <w:r>
        <w:t xml:space="preserve">Figure 3.5: The System Policy value for deleting roaming profiles. </w:t>
      </w:r>
    </w:p>
    <w:p>
      <w:pPr>
        <w:pStyle w:val="Para 25"/>
      </w:pPr>
      <w:r>
        <w:t/>
      </w:r>
    </w:p>
    <w:p>
      <w:pPr>
        <w:pStyle w:val="Normal"/>
      </w:pPr>
      <w:r>
        <w:t xml:space="preserve">When the copy of the user profile on the local system is newer than the one on the network, the </w:t>
      </w:r>
    </w:p>
    <w:p>
      <w:pPr>
        <w:pStyle w:val="Normal"/>
      </w:pPr>
      <w:r>
        <w:t xml:space="preserve">user is presented with a choice of which to use, as Figure 3.6 shows.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06600" cy="850900"/>
            <wp:effectExtent l="0" r="0" t="0" b="0"/>
            <wp:wrapTopAndBottom/>
            <wp:docPr id="158" name="index-71_2.png" descr="index-71_2.png"/>
            <wp:cNvGraphicFramePr>
              <a:graphicFrameLocks noChangeAspect="1"/>
            </wp:cNvGraphicFramePr>
            <a:graphic>
              <a:graphicData uri="http://schemas.openxmlformats.org/drawingml/2006/picture">
                <pic:pic>
                  <pic:nvPicPr>
                    <pic:cNvPr id="0" name="index-71_2.png" descr="index-71_2.png"/>
                    <pic:cNvPicPr/>
                  </pic:nvPicPr>
                  <pic:blipFill>
                    <a:blip r:embed="rId162"/>
                    <a:stretch>
                      <a:fillRect/>
                    </a:stretch>
                  </pic:blipFill>
                  <pic:spPr>
                    <a:xfrm>
                      <a:off x="0" y="0"/>
                      <a:ext cx="2006600" cy="850900"/>
                    </a:xfrm>
                    <a:prstGeom prst="rect">
                      <a:avLst/>
                    </a:prstGeom>
                  </pic:spPr>
                </pic:pic>
              </a:graphicData>
            </a:graphic>
          </wp:anchor>
        </w:drawing>
      </w:r>
    </w:p>
    <w:p>
      <w:pPr>
        <w:pStyle w:val="Para 25"/>
      </w:pPr>
      <w:r>
        <w:t/>
      </w:r>
    </w:p>
    <w:p>
      <w:pPr>
        <w:pStyle w:val="Para 26"/>
      </w:pPr>
      <w:r>
        <w:t xml:space="preserve"> </w:t>
      </w:r>
    </w:p>
    <w:p>
      <w:pPr>
        <w:pStyle w:val="Para 25"/>
      </w:pPr>
      <w:r>
        <w:t/>
      </w:r>
    </w:p>
    <w:p>
      <w:pPr>
        <w:pStyle w:val="Para 10"/>
      </w:pPr>
      <w:r>
        <w:t xml:space="preserve">Figure 3.6: Choice presented by Windows when the network profile is newer than the local profile.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59" name="index-71_3.png" descr="index-71_3.png"/>
            <wp:cNvGraphicFramePr>
              <a:graphicFrameLocks noChangeAspect="1"/>
            </wp:cNvGraphicFramePr>
            <a:graphic>
              <a:graphicData uri="http://schemas.openxmlformats.org/drawingml/2006/picture">
                <pic:pic>
                  <pic:nvPicPr>
                    <pic:cNvPr id="0" name="index-71_3.png" descr="index-71_3.png"/>
                    <pic:cNvPicPr/>
                  </pic:nvPicPr>
                  <pic:blipFill>
                    <a:blip r:embed="rId16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60" name="index-71_4.png" descr="index-71_4.png"/>
            <wp:cNvGraphicFramePr>
              <a:graphicFrameLocks noChangeAspect="1"/>
            </wp:cNvGraphicFramePr>
            <a:graphic>
              <a:graphicData uri="http://schemas.openxmlformats.org/drawingml/2006/picture">
                <pic:pic>
                  <pic:nvPicPr>
                    <pic:cNvPr id="0" name="index-71_4.png" descr="index-71_4.png"/>
                    <pic:cNvPicPr/>
                  </pic:nvPicPr>
                  <pic:blipFill>
                    <a:blip r:embed="rId164"/>
                    <a:stretch>
                      <a:fillRect/>
                    </a:stretch>
                  </pic:blipFill>
                  <pic:spPr>
                    <a:xfrm>
                      <a:off x="0" y="0"/>
                      <a:ext cx="914400" cy="444500"/>
                    </a:xfrm>
                    <a:prstGeom prst="rect">
                      <a:avLst/>
                    </a:prstGeom>
                  </pic:spPr>
                </pic:pic>
              </a:graphicData>
            </a:graphic>
          </wp:anchor>
        </w:drawing>
      </w:r>
    </w:p>
    <w:p>
      <w:pPr>
        <w:pStyle w:val="0 Block"/>
      </w:pPr>
    </w:p>
    <w:p>
      <w:bookmarkStart w:id="76" w:name="Chapter_3_8"/>
      <w:pPr>
        <w:pStyle w:val="Heading 1"/>
        <w:pageBreakBefore w:val="on"/>
      </w:pPr>
      <w:r>
        <w:t>Chapter 3</w:t>
      </w:r>
      <w:bookmarkEnd w:id="76"/>
    </w:p>
    <w:p>
      <w:pPr>
        <w:pStyle w:val="Para 25"/>
      </w:pPr>
      <w:r>
        <w:t/>
      </w:r>
    </w:p>
    <w:p>
      <w:pPr>
        <w:pStyle w:val="Normal"/>
      </w:pPr>
      <w:r>
        <w:t xml:space="preserve">By default, this dialog box is presented for 30 seconds and the default selection is made </w:t>
      </w:r>
    </w:p>
    <w:p>
      <w:pPr>
        <w:pStyle w:val="Normal"/>
      </w:pPr>
      <w:r>
        <w:t xml:space="preserve">automatically. This choice can be confusing to users, and it is common for them to select the </w:t>
      </w:r>
    </w:p>
    <w:p>
      <w:pPr>
        <w:pStyle w:val="Normal"/>
      </w:pPr>
      <w:r>
        <w:t xml:space="preserve">default option (which differs among the Windows versions) or panic long enough that the default option is selected for them. For NT, the default is to download the network profile; for Win2K </w:t>
      </w:r>
    </w:p>
    <w:p>
      <w:pPr>
        <w:pStyle w:val="Normal"/>
      </w:pPr>
      <w:r>
        <w:t xml:space="preserve">and later, the default is to use the local copy. To specify your desired default, add or modify the </w:t>
      </w:r>
    </w:p>
    <w:p>
      <w:pPr>
        <w:pStyle w:val="Normal"/>
      </w:pPr>
      <w:r>
        <w:t xml:space="preserve">following registry value: </w:t>
      </w:r>
    </w:p>
    <w:p>
      <w:pPr>
        <w:pStyle w:val="Para 25"/>
      </w:pPr>
      <w:r>
        <w:t/>
      </w:r>
    </w:p>
    <w:p>
      <w:pPr>
        <w:pStyle w:val="Para 03"/>
      </w:pPr>
      <w:r>
        <w:t xml:space="preserve">Key </w:t>
      </w:r>
      <w:r>
        <w:rPr>
          <w:rStyle w:val="Text2"/>
        </w:rPr>
        <w:t xml:space="preserve"> </w:t>
      </w:r>
      <w:r>
        <w:t>HKEY_LOCAL_MACHINE\SOFTWARE\Microsoft\Windows</w:t>
      </w:r>
    </w:p>
    <w:p>
      <w:pPr>
        <w:pStyle w:val="Para 11"/>
      </w:pPr>
      <w:r>
        <w:t xml:space="preserve">NT\CurrentVersion\Winlogon </w:t>
      </w:r>
    </w:p>
    <w:p>
      <w:pPr>
        <w:pStyle w:val="Para 03"/>
      </w:pPr>
      <w:r>
        <w:t xml:space="preserve">Value SlowLinkProfileDefault </w:t>
      </w:r>
    </w:p>
    <w:p>
      <w:pPr>
        <w:pStyle w:val="Para 03"/>
      </w:pPr>
      <w:r>
        <w:t xml:space="preserve">Type REG_DWORD </w:t>
      </w:r>
    </w:p>
    <w:p>
      <w:pPr>
        <w:pStyle w:val="Para 03"/>
      </w:pPr>
      <w:r>
        <w:t xml:space="preserve">Data </w:t>
      </w:r>
      <w:r>
        <w:rPr>
          <w:rStyle w:val="Text2"/>
        </w:rPr>
        <w:t xml:space="preserve"> </w:t>
      </w:r>
      <w:r>
        <w:t xml:space="preserve">0 or 1 (1 = Download Profile, 2 = Use Local Profile) </w:t>
      </w:r>
    </w:p>
    <w:p>
      <w:pPr>
        <w:pStyle w:val="Para 25"/>
      </w:pPr>
      <w:r>
        <w:t/>
      </w:r>
    </w:p>
    <w:p>
      <w:pPr>
        <w:pStyle w:val="Normal"/>
      </w:pPr>
      <w:r>
        <w:t xml:space="preserve">You can edit the registry or use System Policy to exclude desired directories from being included </w:t>
      </w:r>
    </w:p>
    <w:p>
      <w:pPr>
        <w:pStyle w:val="Normal"/>
      </w:pPr>
      <w:r>
        <w:t xml:space="preserve">in a user’s roaming profile. This capability was introduced with NT Service Pack 4 (SP4). To use </w:t>
      </w:r>
    </w:p>
    <w:p>
      <w:pPr>
        <w:pStyle w:val="Normal"/>
      </w:pPr>
      <w:r>
        <w:t xml:space="preserve">the registry edit method, add or modify the following registry value: </w:t>
      </w:r>
    </w:p>
    <w:p>
      <w:pPr>
        <w:pStyle w:val="Para 25"/>
      </w:pPr>
      <w:r>
        <w:t/>
      </w:r>
    </w:p>
    <w:p>
      <w:pPr>
        <w:pStyle w:val="Para 03"/>
      </w:pPr>
      <w:r>
        <w:t xml:space="preserve">Key </w:t>
      </w:r>
      <w:r>
        <w:rPr>
          <w:rStyle w:val="Text2"/>
        </w:rPr>
        <w:t xml:space="preserve"> </w:t>
      </w:r>
      <w:r>
        <w:t>HKEY_CURRENT_USER\SOFTWARE\Microsoft\Window</w:t>
      </w:r>
    </w:p>
    <w:p>
      <w:pPr>
        <w:pStyle w:val="Para 37"/>
      </w:pPr>
      <w:r>
        <w:t xml:space="preserve">sNT\CurrentVersion\Winlogon </w:t>
      </w:r>
    </w:p>
    <w:p>
      <w:pPr>
        <w:pStyle w:val="Para 03"/>
      </w:pPr>
      <w:r>
        <w:t xml:space="preserve">Value </w:t>
      </w:r>
      <w:r>
        <w:rPr>
          <w:rStyle w:val="Text2"/>
        </w:rPr>
        <w:t xml:space="preserve"> </w:t>
      </w:r>
      <w:r>
        <w:t>ExcludeProfilDirs</w:t>
      </w:r>
    </w:p>
    <w:p>
      <w:pPr>
        <w:pStyle w:val="Para 03"/>
      </w:pPr>
      <w:r>
        <w:t xml:space="preserve">Type REG_SZ </w:t>
      </w:r>
    </w:p>
    <w:p>
      <w:pPr>
        <w:pStyle w:val="Para 03"/>
      </w:pPr>
      <w:r>
        <w:t xml:space="preserve">Data </w:t>
      </w:r>
      <w:r>
        <w:rPr>
          <w:rStyle w:val="Text2"/>
        </w:rPr>
        <w:t xml:space="preserve"> </w:t>
      </w:r>
      <w:r>
        <w:t xml:space="preserve">Directories to exclude, using relative paths from the user </w:t>
      </w:r>
    </w:p>
    <w:p>
      <w:pPr>
        <w:pStyle w:val="Para 37"/>
      </w:pPr>
      <w:r>
        <w:t xml:space="preserve">profile root separated by semicolons </w:t>
      </w:r>
    </w:p>
    <w:p>
      <w:pPr>
        <w:pStyle w:val="Para 03"/>
      </w:pPr>
      <w:r>
        <w:t xml:space="preserve">Sample </w:t>
      </w:r>
      <w:r>
        <w:rPr>
          <w:rStyle w:val="Text2"/>
        </w:rPr>
        <w:t xml:space="preserve"> </w:t>
      </w:r>
      <w:r>
        <w:t xml:space="preserve">Temporary Internet Files;Application </w:t>
        <w:t xml:space="preserve">Data </w:t>
      </w:r>
      <w:r>
        <w:rPr>
          <w:rStyle w:val="Text2"/>
        </w:rPr>
        <w:t xml:space="preserve"> </w:t>
      </w:r>
      <w:r>
        <w:t>Data\Microsoft\Outlook</w:t>
      </w:r>
    </w:p>
    <w:p>
      <w:pPr>
        <w:pStyle w:val="Para 25"/>
      </w:pPr>
      <w:r>
        <w:t/>
      </w:r>
    </w:p>
    <w:p>
      <w:pPr>
        <w:pStyle w:val="Normal"/>
      </w:pPr>
      <w:r>
        <w:t xml:space="preserve">To use System Policy to exclude directories from a user’s roaming profile, follow these steps: </w:t>
      </w:r>
    </w:p>
    <w:p>
      <w:pPr>
        <w:pStyle w:val="Para 25"/>
      </w:pPr>
      <w:r>
        <w:t/>
      </w:r>
    </w:p>
    <w:p>
      <w:pPr>
        <w:pStyle w:val="Para 04"/>
      </w:pPr>
      <w:r>
        <w:rPr>
          <w:rStyle w:val="Text1"/>
        </w:rPr>
        <w:t xml:space="preserve">1. </w:t>
      </w:r>
      <w:r>
        <w:t xml:space="preserve">In System Policy Editor, load the templates Common.adm and Winnt.adm (usually found </w:t>
      </w:r>
    </w:p>
    <w:p>
      <w:pPr>
        <w:pStyle w:val="Para 01"/>
      </w:pPr>
      <w:r>
        <w:t xml:space="preserve">in the hidden c:\winnt\inf folder). </w:t>
      </w:r>
    </w:p>
    <w:p>
      <w:pPr>
        <w:pStyle w:val="Para 25"/>
      </w:pPr>
      <w:r>
        <w:t/>
      </w:r>
    </w:p>
    <w:p>
      <w:pPr>
        <w:pStyle w:val="Para 04"/>
      </w:pPr>
      <w:r>
        <w:rPr>
          <w:rStyle w:val="Text1"/>
        </w:rPr>
        <w:t xml:space="preserve">2. </w:t>
      </w:r>
      <w:r>
        <w:t xml:space="preserve">Create a new policy. </w:t>
      </w:r>
    </w:p>
    <w:p>
      <w:pPr>
        <w:pStyle w:val="Para 25"/>
      </w:pPr>
      <w:r>
        <w:t/>
      </w:r>
    </w:p>
    <w:p>
      <w:pPr>
        <w:pStyle w:val="Para 04"/>
      </w:pPr>
      <w:r>
        <w:rPr>
          <w:rStyle w:val="Text1"/>
        </w:rPr>
        <w:t xml:space="preserve">3. </w:t>
      </w:r>
      <w:r>
        <w:t xml:space="preserve">Open Default User, then expand Windows NT User Profiles. </w:t>
      </w:r>
    </w:p>
    <w:p>
      <w:pPr>
        <w:pStyle w:val="Para 25"/>
      </w:pPr>
      <w:r>
        <w:t/>
      </w:r>
    </w:p>
    <w:p>
      <w:pPr>
        <w:pStyle w:val="Para 38"/>
      </w:pPr>
      <w:r>
        <w:rPr>
          <w:rStyle w:val="Text6"/>
        </w:rPr>
        <w:t xml:space="preserve">4. </w:t>
      </w:r>
      <w:r>
        <w:rPr>
          <w:rStyle w:val="Text0"/>
        </w:rPr>
        <w:t xml:space="preserve">Select the </w:t>
      </w:r>
      <w:r>
        <w:t>Exclude directories in roaming profile</w:t>
      </w:r>
      <w:r>
        <w:rPr>
          <w:rStyle w:val="Text0"/>
        </w:rPr>
        <w:t xml:space="preserve"> option. </w:t>
      </w:r>
    </w:p>
    <w:p>
      <w:pPr>
        <w:pStyle w:val="Para 25"/>
      </w:pPr>
      <w:r>
        <w:t/>
      </w:r>
    </w:p>
    <w:p>
      <w:pPr>
        <w:pStyle w:val="Para 04"/>
      </w:pPr>
      <w:r>
        <w:rPr>
          <w:rStyle w:val="Text1"/>
        </w:rPr>
        <w:t xml:space="preserve">5. </w:t>
      </w:r>
      <w:r>
        <w:t xml:space="preserve">In the text box provided, enter the directory names you want to exclude. Again, the </w:t>
      </w:r>
    </w:p>
    <w:p>
      <w:pPr>
        <w:pStyle w:val="Para 01"/>
      </w:pPr>
      <w:r>
        <w:t xml:space="preserve">directories must be relative to the root of the user’s profile and semicolons must be used </w:t>
      </w:r>
    </w:p>
    <w:p>
      <w:pPr>
        <w:pStyle w:val="Para 01"/>
      </w:pPr>
      <w:r>
        <w:t xml:space="preserve">to separate multiple entries (the default value is Temporary Internet Files;Temp).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61" name="index-72_1.png" descr="index-72_1.png"/>
            <wp:cNvGraphicFramePr>
              <a:graphicFrameLocks noChangeAspect="1"/>
            </wp:cNvGraphicFramePr>
            <a:graphic>
              <a:graphicData uri="http://schemas.openxmlformats.org/drawingml/2006/picture">
                <pic:pic>
                  <pic:nvPicPr>
                    <pic:cNvPr id="0" name="index-72_1.png" descr="index-72_1.png"/>
                    <pic:cNvPicPr/>
                  </pic:nvPicPr>
                  <pic:blipFill>
                    <a:blip r:embed="rId16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62" name="index-72_2.png" descr="index-72_2.png"/>
            <wp:cNvGraphicFramePr>
              <a:graphicFrameLocks noChangeAspect="1"/>
            </wp:cNvGraphicFramePr>
            <a:graphic>
              <a:graphicData uri="http://schemas.openxmlformats.org/drawingml/2006/picture">
                <pic:pic>
                  <pic:nvPicPr>
                    <pic:cNvPr id="0" name="index-72_2.png" descr="index-72_2.png"/>
                    <pic:cNvPicPr/>
                  </pic:nvPicPr>
                  <pic:blipFill>
                    <a:blip r:embed="rId166"/>
                    <a:stretch>
                      <a:fillRect/>
                    </a:stretch>
                  </pic:blipFill>
                  <pic:spPr>
                    <a:xfrm>
                      <a:off x="0" y="0"/>
                      <a:ext cx="914400" cy="444500"/>
                    </a:xfrm>
                    <a:prstGeom prst="rect">
                      <a:avLst/>
                    </a:prstGeom>
                  </pic:spPr>
                </pic:pic>
              </a:graphicData>
            </a:graphic>
          </wp:anchor>
        </w:drawing>
      </w:r>
    </w:p>
    <w:p>
      <w:pPr>
        <w:pStyle w:val="0 Block"/>
      </w:pPr>
    </w:p>
    <w:p>
      <w:bookmarkStart w:id="77" w:name="Chapter_3_9"/>
      <w:pPr>
        <w:pStyle w:val="Heading 1"/>
        <w:pageBreakBefore w:val="on"/>
      </w:pPr>
      <w:r>
        <w:t>Chapter 3</w:t>
      </w:r>
      <w:bookmarkEnd w:id="77"/>
    </w:p>
    <w:p>
      <w:pPr>
        <w:pStyle w:val="Para 25"/>
      </w:pPr>
      <w:r>
        <w:t/>
      </w:r>
    </w:p>
    <w:p>
      <w:pPr>
        <w:pStyle w:val="Para 07"/>
      </w:pPr>
      <w:r>
        <w:t xml:space="preserve">Mandatory User Profiles </w:t>
      </w:r>
    </w:p>
    <w:p>
      <w:pPr>
        <w:pStyle w:val="Normal"/>
      </w:pPr>
      <w:r>
        <w:t xml:space="preserve">Mandatory user profiles are roaming profiles that can be used to specify particular settings for </w:t>
      </w:r>
    </w:p>
    <w:p>
      <w:pPr>
        <w:pStyle w:val="Normal"/>
      </w:pPr>
      <w:r>
        <w:t xml:space="preserve">individuals or an entire group of users. Only systems administrators can make changes to </w:t>
      </w:r>
    </w:p>
    <w:p>
      <w:pPr>
        <w:pStyle w:val="Normal"/>
      </w:pPr>
      <w:r>
        <w:t xml:space="preserve">mandatory user profiles. A mandatory user profile will not save changes made to the desktop by </w:t>
      </w:r>
    </w:p>
    <w:p>
      <w:pPr>
        <w:pStyle w:val="Normal"/>
      </w:pPr>
      <w:r>
        <w:t xml:space="preserve">users during their logon sessions. Users can modify the desktop settings of the computer while they are logged on, but none of these changes are saved when they log off. The mandatory </w:t>
      </w:r>
    </w:p>
    <w:p>
      <w:pPr>
        <w:pStyle w:val="Normal"/>
      </w:pPr>
      <w:r>
        <w:t xml:space="preserve">profile settings are downloaded to the local computer each time a user logs on. You can </w:t>
      </w:r>
    </w:p>
    <w:p>
      <w:pPr>
        <w:pStyle w:val="Normal"/>
      </w:pPr>
      <w:r>
        <w:t xml:space="preserve">designate any profile as a mandatory profile simply by renaming Ntuser.dat as Ntuser.man in the root of the desired roaming user profile directory. Win2K provides support for mandatory </w:t>
      </w:r>
    </w:p>
    <w:p>
      <w:pPr>
        <w:pStyle w:val="Normal"/>
      </w:pPr>
      <w:r>
        <w:t xml:space="preserve">profiles in this way, but in environments in which AD has been implemented, it is recommended </w:t>
      </w:r>
    </w:p>
    <w:p>
      <w:pPr>
        <w:pStyle w:val="Normal"/>
      </w:pPr>
      <w:r>
        <w:t xml:space="preserve">that Group Policy be used to provide a layered, and more granular, control of user profiles. </w:t>
      </w:r>
    </w:p>
    <w:p>
      <w:pPr>
        <w:pStyle w:val="Para 25"/>
      </w:pPr>
      <w:r>
        <w:t/>
      </w:r>
    </w:p>
    <w:p>
      <w:pPr>
        <w:pStyle w:val="Para 02"/>
      </w:pPr>
      <w:r>
        <w:t xml:space="preserve">Although mandatory profiles are supported for Windows 9x clients, mandatory profiles cannot be </w:t>
      </w:r>
    </w:p>
    <w:p>
      <w:pPr>
        <w:pStyle w:val="Para 02"/>
      </w:pPr>
      <w:r>
        <w:t xml:space="preserve">shared. You must create a separate profile for each user. </w:t>
      </w:r>
    </w:p>
    <w:p>
      <w:pPr>
        <w:pStyle w:val="Para 25"/>
      </w:pPr>
      <w:r>
        <w:t/>
      </w:r>
    </w:p>
    <w:p>
      <w:pPr>
        <w:pStyle w:val="Para 07"/>
      </w:pPr>
      <w:r>
        <w:t xml:space="preserve">Temporary User Profiles </w:t>
      </w:r>
    </w:p>
    <w:p>
      <w:pPr>
        <w:pStyle w:val="Normal"/>
      </w:pPr>
      <w:r>
        <w:t xml:space="preserve">Available only on computers running Win2K and later, a temporary profile is issued any time an </w:t>
      </w:r>
    </w:p>
    <w:p>
      <w:pPr>
        <w:pStyle w:val="Normal"/>
      </w:pPr>
      <w:r>
        <w:t xml:space="preserve">error condition prevents a user’s profile from being loaded. Temporary profiles are deleted at the </w:t>
      </w:r>
    </w:p>
    <w:p>
      <w:pPr>
        <w:pStyle w:val="Normal"/>
      </w:pPr>
      <w:r>
        <w:t xml:space="preserve">end of each session. Changes made by the user to his or her desktop settings and files are lost </w:t>
      </w:r>
    </w:p>
    <w:p>
      <w:pPr>
        <w:pStyle w:val="Normal"/>
      </w:pPr>
      <w:r>
        <w:t xml:space="preserve">when the user logs off. When a temporary profile is to be used, users are presented with a message during logon that advises them of this condition. </w:t>
      </w:r>
    </w:p>
    <w:p>
      <w:pPr>
        <w:pStyle w:val="Para 25"/>
      </w:pPr>
      <w:r>
        <w:t/>
      </w:r>
    </w:p>
    <w:p>
      <w:pPr>
        <w:pStyle w:val="Para 07"/>
      </w:pPr>
      <w:r>
        <w:t xml:space="preserve">Profile Security </w:t>
      </w:r>
    </w:p>
    <w:p>
      <w:pPr>
        <w:pStyle w:val="Normal"/>
      </w:pPr>
      <w:r>
        <w:t xml:space="preserve">Local access to profile directories is restricted on NT and later versions of Windows where </w:t>
      </w:r>
    </w:p>
    <w:p>
      <w:pPr>
        <w:pStyle w:val="Normal"/>
      </w:pPr>
      <w:r>
        <w:t xml:space="preserve">NTFS is in use. On NT computers, profile directories are created with the user account, local </w:t>
      </w:r>
    </w:p>
    <w:p>
      <w:pPr>
        <w:pStyle w:val="Normal"/>
      </w:pPr>
      <w:r>
        <w:t xml:space="preserve">system account, and administrator’s group having full control. </w:t>
      </w:r>
    </w:p>
    <w:p>
      <w:pPr>
        <w:pStyle w:val="Para 25"/>
      </w:pPr>
      <w:r>
        <w:t/>
      </w:r>
    </w:p>
    <w:p>
      <w:pPr>
        <w:pStyle w:val="Normal"/>
      </w:pPr>
      <w:r>
        <w:t xml:space="preserve">Directories containing roaming user profiles need at least add and read permissions for profiles </w:t>
      </w:r>
    </w:p>
    <w:p>
      <w:pPr>
        <w:pStyle w:val="Normal"/>
      </w:pPr>
      <w:r>
        <w:t xml:space="preserve">to be read correctly. Because Windows looks for the existence of the folder first, having only add </w:t>
      </w:r>
    </w:p>
    <w:p>
      <w:pPr>
        <w:pStyle w:val="Normal"/>
      </w:pPr>
      <w:r>
        <w:t xml:space="preserve">permissions will result in failure. For a roaming profile to be written back up to the server, the user must have at least change permissions. If a profile is mandatory, the user account must have </w:t>
      </w:r>
    </w:p>
    <w:p>
      <w:pPr>
        <w:pStyle w:val="Normal"/>
      </w:pPr>
      <w:r>
        <w:t xml:space="preserve">at least read permissions on the network share on which the user profile is stored. </w:t>
      </w:r>
    </w:p>
    <w:p>
      <w:pPr>
        <w:pStyle w:val="Para 25"/>
      </w:pPr>
      <w:r>
        <w:t/>
      </w:r>
    </w:p>
    <w:p>
      <w:pPr>
        <w:pStyle w:val="Para 07"/>
      </w:pPr>
      <w:r>
        <w:t xml:space="preserve">Contents of a User Profile </w:t>
      </w:r>
    </w:p>
    <w:p>
      <w:pPr>
        <w:pStyle w:val="Normal"/>
      </w:pPr>
      <w:r>
        <w:t xml:space="preserve">Several standard directories are included in a user profile, many of which are hidden. The </w:t>
      </w:r>
    </w:p>
    <w:p>
      <w:pPr>
        <w:pStyle w:val="Normal"/>
      </w:pPr>
      <w:r>
        <w:t xml:space="preserve">following list provides the makeup of the settings and default directories included for a Win2K system (see Figure 3.7): </w:t>
      </w:r>
    </w:p>
    <w:p>
      <w:pPr>
        <w:pStyle w:val="Para 25"/>
      </w:pPr>
      <w:r>
        <w:t/>
      </w:r>
    </w:p>
    <w:p>
      <w:pPr>
        <w:pStyle w:val="Para 04"/>
      </w:pPr>
      <w:r>
        <w:t xml:space="preserve">• </w:t>
        <w:t xml:space="preserve">Application settings—All user-specific application settings installed or generated by the </w:t>
      </w:r>
    </w:p>
    <w:p>
      <w:pPr>
        <w:pStyle w:val="Para 01"/>
      </w:pPr>
      <w:r>
        <w:t xml:space="preserve">user </w:t>
      </w:r>
    </w:p>
    <w:p>
      <w:pPr>
        <w:pStyle w:val="Para 25"/>
      </w:pPr>
      <w:r>
        <w:t/>
      </w:r>
    </w:p>
    <w:p>
      <w:pPr>
        <w:pStyle w:val="Para 04"/>
      </w:pPr>
      <w:r>
        <w:t xml:space="preserve">• </w:t>
        <w:t xml:space="preserve">Windows Explorer file settings—All user-definable settings for Windows file explorer as </w:t>
      </w:r>
    </w:p>
    <w:p>
      <w:pPr>
        <w:pStyle w:val="Para 01"/>
      </w:pPr>
      <w:r>
        <w:t xml:space="preserve">well as persistent network connections </w:t>
      </w:r>
    </w:p>
    <w:p>
      <w:pPr>
        <w:pStyle w:val="Para 25"/>
      </w:pPr>
      <w:r>
        <w:t/>
      </w:r>
    </w:p>
    <w:p>
      <w:pPr>
        <w:pStyle w:val="Para 04"/>
      </w:pPr>
      <w:r>
        <w:t xml:space="preserve">• </w:t>
        <w:t xml:space="preserve">Program groups and taskbar settings—All personal program groups and their properties, </w:t>
      </w:r>
    </w:p>
    <w:p>
      <w:pPr>
        <w:pStyle w:val="Para 01"/>
      </w:pPr>
      <w:r>
        <w:t xml:space="preserve">all program items and their properties, and all taskbar settings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63" name="index-73_1.png" descr="index-73_1.png"/>
            <wp:cNvGraphicFramePr>
              <a:graphicFrameLocks noChangeAspect="1"/>
            </wp:cNvGraphicFramePr>
            <a:graphic>
              <a:graphicData uri="http://schemas.openxmlformats.org/drawingml/2006/picture">
                <pic:pic>
                  <pic:nvPicPr>
                    <pic:cNvPr id="0" name="index-73_1.png" descr="index-73_1.png"/>
                    <pic:cNvPicPr/>
                  </pic:nvPicPr>
                  <pic:blipFill>
                    <a:blip r:embed="rId16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64" name="index-73_2.png" descr="index-73_2.png"/>
            <wp:cNvGraphicFramePr>
              <a:graphicFrameLocks noChangeAspect="1"/>
            </wp:cNvGraphicFramePr>
            <a:graphic>
              <a:graphicData uri="http://schemas.openxmlformats.org/drawingml/2006/picture">
                <pic:pic>
                  <pic:nvPicPr>
                    <pic:cNvPr id="0" name="index-73_2.png" descr="index-73_2.png"/>
                    <pic:cNvPicPr/>
                  </pic:nvPicPr>
                  <pic:blipFill>
                    <a:blip r:embed="rId168"/>
                    <a:stretch>
                      <a:fillRect/>
                    </a:stretch>
                  </pic:blipFill>
                  <pic:spPr>
                    <a:xfrm>
                      <a:off x="0" y="0"/>
                      <a:ext cx="914400" cy="444500"/>
                    </a:xfrm>
                    <a:prstGeom prst="rect">
                      <a:avLst/>
                    </a:prstGeom>
                  </pic:spPr>
                </pic:pic>
              </a:graphicData>
            </a:graphic>
          </wp:anchor>
        </w:drawing>
      </w:r>
    </w:p>
    <w:p>
      <w:pPr>
        <w:pStyle w:val="0 Block"/>
      </w:pPr>
    </w:p>
    <w:p>
      <w:bookmarkStart w:id="78" w:name="Chapter_3_10"/>
      <w:pPr>
        <w:pStyle w:val="Heading 1"/>
        <w:pageBreakBefore w:val="on"/>
      </w:pPr>
      <w:r>
        <w:t>Chapter 3</w:t>
      </w:r>
      <w:bookmarkEnd w:id="78"/>
    </w:p>
    <w:p>
      <w:pPr>
        <w:pStyle w:val="Para 25"/>
      </w:pPr>
      <w:r>
        <w:t/>
      </w:r>
    </w:p>
    <w:p>
      <w:pPr>
        <w:pStyle w:val="Para 04"/>
      </w:pPr>
      <w:r>
        <w:t xml:space="preserve">• Printer settings—All network printer connections </w:t>
      </w:r>
    </w:p>
    <w:p>
      <w:pPr>
        <w:pStyle w:val="Para 25"/>
      </w:pPr>
      <w:r>
        <w:t/>
      </w:r>
    </w:p>
    <w:p>
      <w:pPr>
        <w:pStyle w:val="Para 04"/>
      </w:pPr>
      <w:r>
        <w:t xml:space="preserve">• Control Panel settings—All user-defined settings made in the Control Panel </w:t>
      </w:r>
    </w:p>
    <w:p>
      <w:pPr>
        <w:pStyle w:val="Para 25"/>
      </w:pPr>
      <w:r>
        <w:t/>
      </w:r>
    </w:p>
    <w:p>
      <w:pPr>
        <w:pStyle w:val="Para 04"/>
      </w:pPr>
      <w:r>
        <w:t xml:space="preserve">• Help bookmarks—Any bookmarks placed in the NT Help system </w:t>
      </w:r>
    </w:p>
    <w:p>
      <w:pPr>
        <w:pStyle w:val="Para 25"/>
      </w:pPr>
      <w:r>
        <w:t/>
      </w:r>
    </w:p>
    <w:p>
      <w:pPr>
        <w:pStyle w:val="Para 04"/>
      </w:pPr>
      <w:r>
        <w:t xml:space="preserve">• </w:t>
        <w:t xml:space="preserve">Application data directory—Application-specific data, such as a custom dictionary for a </w:t>
      </w:r>
    </w:p>
    <w:p>
      <w:pPr>
        <w:pStyle w:val="Para 01"/>
      </w:pPr>
      <w:r>
        <w:t xml:space="preserve">word processing program; application vendors decide which data to store in this directory </w:t>
      </w:r>
    </w:p>
    <w:p>
      <w:pPr>
        <w:pStyle w:val="Para 25"/>
      </w:pPr>
      <w:r>
        <w:t/>
      </w:r>
    </w:p>
    <w:p>
      <w:pPr>
        <w:pStyle w:val="Para 04"/>
      </w:pPr>
      <w:r>
        <w:t xml:space="preserve">• Desktop directory—Desktop items, including files and shortcuts </w:t>
      </w:r>
    </w:p>
    <w:p>
      <w:pPr>
        <w:pStyle w:val="Para 25"/>
      </w:pPr>
      <w:r>
        <w:t/>
      </w:r>
    </w:p>
    <w:p>
      <w:pPr>
        <w:pStyle w:val="Para 04"/>
      </w:pPr>
      <w:r>
        <w:t xml:space="preserve">• Cookies—Internet Explorer (IE) cookies </w:t>
      </w:r>
    </w:p>
    <w:p>
      <w:pPr>
        <w:pStyle w:val="Para 25"/>
      </w:pPr>
      <w:r>
        <w:t/>
      </w:r>
    </w:p>
    <w:p>
      <w:pPr>
        <w:pStyle w:val="Para 04"/>
      </w:pPr>
      <w:r>
        <w:t xml:space="preserve">• </w:t>
        <w:t xml:space="preserve">Local Settings—Application settings that do not roam with the profile; usually these </w:t>
      </w:r>
    </w:p>
    <w:p>
      <w:pPr>
        <w:pStyle w:val="Para 01"/>
      </w:pPr>
      <w:r>
        <w:t xml:space="preserve">settings are computer specific or are too large to roam effectively; the following </w:t>
      </w:r>
    </w:p>
    <w:p>
      <w:pPr>
        <w:pStyle w:val="Para 01"/>
      </w:pPr>
      <w:r>
        <w:t xml:space="preserve">subfolders are present by default: Application Data, History, Temp, and Temporary Internet Files </w:t>
      </w:r>
    </w:p>
    <w:p>
      <w:pPr>
        <w:pStyle w:val="Para 25"/>
      </w:pPr>
      <w:r>
        <w:t/>
      </w:r>
    </w:p>
    <w:p>
      <w:pPr>
        <w:pStyle w:val="Para 04"/>
      </w:pPr>
      <w:r>
        <w:t xml:space="preserve">• Favorites directory —Shortcuts to program items and favorite locations </w:t>
      </w:r>
    </w:p>
    <w:p>
      <w:pPr>
        <w:pStyle w:val="Para 25"/>
      </w:pPr>
      <w:r>
        <w:t/>
      </w:r>
    </w:p>
    <w:p>
      <w:pPr>
        <w:pStyle w:val="Para 04"/>
      </w:pPr>
      <w:r>
        <w:t xml:space="preserve">• NetHood directory—Shortcuts to Network Neighborhood items (hidden) </w:t>
      </w:r>
    </w:p>
    <w:p>
      <w:pPr>
        <w:pStyle w:val="Para 25"/>
      </w:pPr>
      <w:r>
        <w:t/>
      </w:r>
    </w:p>
    <w:p>
      <w:pPr>
        <w:pStyle w:val="Para 04"/>
      </w:pPr>
      <w:r>
        <w:t xml:space="preserve">• My Documents directory—User data directory </w:t>
      </w:r>
    </w:p>
    <w:p>
      <w:pPr>
        <w:pStyle w:val="Para 25"/>
      </w:pPr>
      <w:r>
        <w:t/>
      </w:r>
    </w:p>
    <w:p>
      <w:pPr>
        <w:pStyle w:val="Para 04"/>
      </w:pPr>
      <w:r>
        <w:t xml:space="preserve">• PrintHood directory—Shortcuts to printer folder items (hidden) </w:t>
      </w:r>
    </w:p>
    <w:p>
      <w:pPr>
        <w:pStyle w:val="Para 25"/>
      </w:pPr>
      <w:r>
        <w:t/>
      </w:r>
    </w:p>
    <w:p>
      <w:pPr>
        <w:pStyle w:val="Para 04"/>
      </w:pPr>
      <w:r>
        <w:t xml:space="preserve">• Recent directory—Shortcuts to the most recently used items </w:t>
      </w:r>
    </w:p>
    <w:p>
      <w:pPr>
        <w:pStyle w:val="Para 25"/>
      </w:pPr>
      <w:r>
        <w:t/>
      </w:r>
    </w:p>
    <w:p>
      <w:pPr>
        <w:pStyle w:val="Para 04"/>
      </w:pPr>
      <w:r>
        <w:t xml:space="preserve">• SendTo directory—Shortcuts to document storage locations and applications </w:t>
      </w:r>
    </w:p>
    <w:p>
      <w:pPr>
        <w:pStyle w:val="Para 25"/>
      </w:pPr>
      <w:r>
        <w:t/>
      </w:r>
    </w:p>
    <w:p>
      <w:pPr>
        <w:pStyle w:val="Para 04"/>
      </w:pPr>
      <w:r>
        <w:t xml:space="preserve">• Start menu directory—Shortcuts to program items </w:t>
      </w:r>
    </w:p>
    <w:p>
      <w:pPr>
        <w:pStyle w:val="Para 25"/>
      </w:pPr>
      <w:r>
        <w:t/>
      </w:r>
    </w:p>
    <w:p>
      <w:pPr>
        <w:pStyle w:val="Para 04"/>
      </w:pPr>
      <w:r>
        <w:t xml:space="preserve">• Templates—Shortcuts to template items (hidden)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30600" cy="2171700"/>
            <wp:effectExtent l="0" r="0" t="0" b="0"/>
            <wp:wrapTopAndBottom/>
            <wp:docPr id="165" name="index-74_1.png" descr="index-74_1.png"/>
            <wp:cNvGraphicFramePr>
              <a:graphicFrameLocks noChangeAspect="1"/>
            </wp:cNvGraphicFramePr>
            <a:graphic>
              <a:graphicData uri="http://schemas.openxmlformats.org/drawingml/2006/picture">
                <pic:pic>
                  <pic:nvPicPr>
                    <pic:cNvPr id="0" name="index-74_1.png" descr="index-74_1.png"/>
                    <pic:cNvPicPr/>
                  </pic:nvPicPr>
                  <pic:blipFill>
                    <a:blip r:embed="rId169"/>
                    <a:stretch>
                      <a:fillRect/>
                    </a:stretch>
                  </pic:blipFill>
                  <pic:spPr>
                    <a:xfrm>
                      <a:off x="0" y="0"/>
                      <a:ext cx="3530600" cy="21717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3.7: Root directory view of a user profile.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66" name="index-74_2.png" descr="index-74_2.png"/>
            <wp:cNvGraphicFramePr>
              <a:graphicFrameLocks noChangeAspect="1"/>
            </wp:cNvGraphicFramePr>
            <a:graphic>
              <a:graphicData uri="http://schemas.openxmlformats.org/drawingml/2006/picture">
                <pic:pic>
                  <pic:nvPicPr>
                    <pic:cNvPr id="0" name="index-74_2.png" descr="index-74_2.png"/>
                    <pic:cNvPicPr/>
                  </pic:nvPicPr>
                  <pic:blipFill>
                    <a:blip r:embed="rId17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67" name="index-74_3.png" descr="index-74_3.png"/>
            <wp:cNvGraphicFramePr>
              <a:graphicFrameLocks noChangeAspect="1"/>
            </wp:cNvGraphicFramePr>
            <a:graphic>
              <a:graphicData uri="http://schemas.openxmlformats.org/drawingml/2006/picture">
                <pic:pic>
                  <pic:nvPicPr>
                    <pic:cNvPr id="0" name="index-74_3.png" descr="index-74_3.png"/>
                    <pic:cNvPicPr/>
                  </pic:nvPicPr>
                  <pic:blipFill>
                    <a:blip r:embed="rId171"/>
                    <a:stretch>
                      <a:fillRect/>
                    </a:stretch>
                  </pic:blipFill>
                  <pic:spPr>
                    <a:xfrm>
                      <a:off x="0" y="0"/>
                      <a:ext cx="914400" cy="444500"/>
                    </a:xfrm>
                    <a:prstGeom prst="rect">
                      <a:avLst/>
                    </a:prstGeom>
                  </pic:spPr>
                </pic:pic>
              </a:graphicData>
            </a:graphic>
          </wp:anchor>
        </w:drawing>
      </w:r>
    </w:p>
    <w:p>
      <w:pPr>
        <w:pStyle w:val="0 Block"/>
      </w:pPr>
    </w:p>
    <w:p>
      <w:bookmarkStart w:id="79" w:name="Chapter_3_11"/>
      <w:pPr>
        <w:pStyle w:val="Heading 1"/>
        <w:pageBreakBefore w:val="on"/>
      </w:pPr>
      <w:r>
        <w:t>Chapter 3</w:t>
      </w:r>
      <w:bookmarkEnd w:id="79"/>
    </w:p>
    <w:p>
      <w:pPr>
        <w:pStyle w:val="Para 25"/>
      </w:pPr>
      <w:r>
        <w:t/>
      </w:r>
    </w:p>
    <w:p>
      <w:pPr>
        <w:pStyle w:val="Para 07"/>
      </w:pPr>
      <w:r>
        <w:t xml:space="preserve">User Profile Storage </w:t>
      </w:r>
    </w:p>
    <w:p>
      <w:pPr>
        <w:pStyle w:val="Normal"/>
      </w:pPr>
      <w:r>
        <w:t xml:space="preserve">There are situations in which duplicate profiles names are avoided by the system. For example, </w:t>
      </w:r>
    </w:p>
    <w:p>
      <w:pPr>
        <w:pStyle w:val="Normal"/>
      </w:pPr>
      <w:r>
        <w:t xml:space="preserve">when a user named bkelly first logs onto the computer, a standard profile directory structure is </w:t>
      </w:r>
    </w:p>
    <w:p>
      <w:pPr>
        <w:pStyle w:val="Normal"/>
      </w:pPr>
      <w:r>
        <w:t xml:space="preserve">created: </w:t>
      </w:r>
    </w:p>
    <w:p>
      <w:pPr>
        <w:pStyle w:val="Para 25"/>
      </w:pPr>
      <w:r>
        <w:t/>
      </w:r>
    </w:p>
    <w:p>
      <w:pPr>
        <w:pStyle w:val="Para 11"/>
      </w:pPr>
      <w:r>
        <w:t xml:space="preserve">Documents and Settings/bkelly </w:t>
      </w:r>
    </w:p>
    <w:p>
      <w:pPr>
        <w:pStyle w:val="Para 25"/>
      </w:pPr>
      <w:r>
        <w:t/>
      </w:r>
    </w:p>
    <w:p>
      <w:pPr>
        <w:pStyle w:val="Normal"/>
      </w:pPr>
      <w:r>
        <w:t xml:space="preserve">On NT systems, a different user logging on with the same name would have a unique profile path created by appending a three-digit number to the UserID, starting with 000 and incrementing </w:t>
      </w:r>
    </w:p>
    <w:p>
      <w:pPr>
        <w:pStyle w:val="Normal"/>
      </w:pPr>
      <w:r>
        <w:t xml:space="preserve">each additional time another duplicate name with a different user SID logs onto the computer: </w:t>
      </w:r>
    </w:p>
    <w:p>
      <w:pPr>
        <w:pStyle w:val="Para 25"/>
      </w:pPr>
      <w:r>
        <w:t/>
      </w:r>
    </w:p>
    <w:p>
      <w:pPr>
        <w:pStyle w:val="Para 11"/>
      </w:pPr>
      <w:r>
        <w:t xml:space="preserve">Documents and Settings/bkelly.000 </w:t>
      </w:r>
    </w:p>
    <w:p>
      <w:pPr>
        <w:pStyle w:val="Para 11"/>
      </w:pPr>
      <w:r>
        <w:t xml:space="preserve">Documents and Settings/bkelly.001 </w:t>
      </w:r>
    </w:p>
    <w:p>
      <w:pPr>
        <w:pStyle w:val="Para 25"/>
      </w:pPr>
      <w:r>
        <w:t/>
      </w:r>
    </w:p>
    <w:p>
      <w:pPr>
        <w:pStyle w:val="Normal"/>
      </w:pPr>
      <w:r>
        <w:t xml:space="preserve">On Win2K and later systems, when a second account with the same name logs on, the account domain name is appended to make it unique: </w:t>
      </w:r>
    </w:p>
    <w:p>
      <w:pPr>
        <w:pStyle w:val="Para 25"/>
      </w:pPr>
      <w:r>
        <w:t/>
      </w:r>
    </w:p>
    <w:p>
      <w:pPr>
        <w:pStyle w:val="Para 11"/>
      </w:pPr>
      <w:r>
        <w:t xml:space="preserve">Documents and Settings/bkelly.APPDEPLOY </w:t>
      </w:r>
    </w:p>
    <w:p>
      <w:pPr>
        <w:pStyle w:val="Para 25"/>
      </w:pPr>
      <w:r>
        <w:t/>
      </w:r>
    </w:p>
    <w:p>
      <w:pPr>
        <w:pStyle w:val="Normal"/>
      </w:pPr>
      <w:r>
        <w:t xml:space="preserve">On Win2K and later systems, in situations in which further duplication might occur, a number is </w:t>
      </w:r>
    </w:p>
    <w:p>
      <w:pPr>
        <w:pStyle w:val="Normal"/>
      </w:pPr>
      <w:r>
        <w:t xml:space="preserve">appended that increments each time the situation occurs: </w:t>
      </w:r>
    </w:p>
    <w:p>
      <w:pPr>
        <w:pStyle w:val="Para 25"/>
      </w:pPr>
      <w:r>
        <w:t/>
      </w:r>
    </w:p>
    <w:p>
      <w:pPr>
        <w:pStyle w:val="Para 11"/>
      </w:pPr>
      <w:r>
        <w:t xml:space="preserve">C:\Documents and Settings\bkelly.APPDEPLOY.000 </w:t>
      </w:r>
    </w:p>
    <w:p>
      <w:pPr>
        <w:pStyle w:val="Para 11"/>
      </w:pPr>
      <w:r>
        <w:t xml:space="preserve">C:\Documents and Settings\bkelly.APPDEPLOY.001 </w:t>
      </w:r>
    </w:p>
    <w:p>
      <w:pPr>
        <w:pStyle w:val="Normal"/>
      </w:pPr>
      <w:r>
        <w:t xml:space="preserve">NT 4.0 records which profile should be used by which user by placing registry keys for the </w:t>
      </w:r>
    </w:p>
    <w:p>
      <w:pPr>
        <w:pStyle w:val="Normal"/>
      </w:pPr>
      <w:r>
        <w:t xml:space="preserve">user’s security ID (SID) in the registry in </w:t>
      </w:r>
    </w:p>
    <w:p>
      <w:pPr>
        <w:pStyle w:val="Normal"/>
      </w:pPr>
      <w:r>
        <w:t xml:space="preserve">HKEY_LOCAL_MACHINE\SOFTWARE\Microsoft\Windows NT\CurrentVersion\ProfileList. </w:t>
      </w:r>
    </w:p>
    <w:p>
      <w:pPr>
        <w:pStyle w:val="Normal"/>
      </w:pPr>
      <w:r>
        <w:t xml:space="preserve">Each user who has logged on to the local machine will have a SID recorded here in its own subkey with a value that contains the path to that user’s local profile (ProfileImagePath). Should </w:t>
      </w:r>
    </w:p>
    <w:p>
      <w:pPr>
        <w:pStyle w:val="Normal"/>
      </w:pPr>
      <w:r>
        <w:t xml:space="preserve">multiple users with the same account name log on to the network, separate distinct profiles are </w:t>
      </w:r>
    </w:p>
    <w:p>
      <w:pPr>
        <w:pStyle w:val="Normal"/>
      </w:pPr>
      <w:r>
        <w:t xml:space="preserve">created for each. </w:t>
      </w:r>
    </w:p>
    <w:p>
      <w:pPr>
        <w:pStyle w:val="Para 25"/>
      </w:pPr>
      <w:r>
        <w:t/>
      </w:r>
    </w:p>
    <w:p>
      <w:pPr>
        <w:pStyle w:val="Para 07"/>
      </w:pPr>
      <w:r>
        <w:t xml:space="preserve">Profiles Templates </w:t>
      </w:r>
    </w:p>
    <w:p>
      <w:pPr>
        <w:pStyle w:val="Normal"/>
      </w:pPr>
      <w:r>
        <w:t xml:space="preserve">When manually creating user accounts, you might choose to create and use multiple default user profiles that cater to the software and tasks appropriate for individual users or groups of users. </w:t>
      </w:r>
    </w:p>
    <w:p>
      <w:pPr>
        <w:pStyle w:val="Normal"/>
      </w:pPr>
      <w:r>
        <w:t xml:space="preserve">Using this method, you might apply a tailored default user profile to users in order to provide </w:t>
      </w:r>
    </w:p>
    <w:p>
      <w:pPr>
        <w:pStyle w:val="Normal"/>
      </w:pPr>
      <w:r>
        <w:t xml:space="preserve">them with a more customized starting point: </w:t>
      </w:r>
    </w:p>
    <w:p>
      <w:pPr>
        <w:pStyle w:val="Para 25"/>
      </w:pPr>
      <w:r>
        <w:t/>
      </w:r>
    </w:p>
    <w:p>
      <w:pPr>
        <w:pStyle w:val="Para 04"/>
      </w:pPr>
      <w:r>
        <w:rPr>
          <w:rStyle w:val="Text1"/>
        </w:rPr>
        <w:t xml:space="preserve">6. </w:t>
      </w:r>
      <w:r>
        <w:t xml:space="preserve">Create a new user account that will be used as a template for the preconfigured user </w:t>
      </w:r>
    </w:p>
    <w:p>
      <w:pPr>
        <w:pStyle w:val="Para 01"/>
      </w:pPr>
      <w:r>
        <w:t xml:space="preserve">profile. </w:t>
      </w:r>
    </w:p>
    <w:p>
      <w:pPr>
        <w:pStyle w:val="Para 25"/>
      </w:pPr>
      <w:r>
        <w:t/>
      </w:r>
    </w:p>
    <w:p>
      <w:pPr>
        <w:pStyle w:val="Para 04"/>
      </w:pPr>
      <w:r>
        <w:rPr>
          <w:rStyle w:val="Text1"/>
        </w:rPr>
        <w:t xml:space="preserve">7. </w:t>
      </w:r>
      <w:r>
        <w:t xml:space="preserve">Log on as the new user, then customize the desktop and install applications to configure </w:t>
      </w:r>
    </w:p>
    <w:p>
      <w:pPr>
        <w:pStyle w:val="Para 01"/>
      </w:pPr>
      <w:r>
        <w:t xml:space="preserve">this user’s profile for the user profile template. </w:t>
      </w:r>
    </w:p>
    <w:p>
      <w:pPr>
        <w:pStyle w:val="Para 25"/>
      </w:pPr>
      <w:r>
        <w:t/>
      </w:r>
    </w:p>
    <w:p>
      <w:pPr>
        <w:pStyle w:val="Para 04"/>
      </w:pPr>
      <w:r>
        <w:rPr>
          <w:rStyle w:val="Text1"/>
        </w:rPr>
        <w:t xml:space="preserve">8. </w:t>
      </w:r>
      <w:r>
        <w:t xml:space="preserve">Log off, then log on as the Administrator. </w:t>
      </w:r>
    </w:p>
    <w:p>
      <w:pPr>
        <w:pStyle w:val="Para 25"/>
      </w:pPr>
      <w:r>
        <w:t/>
      </w:r>
    </w:p>
    <w:p>
      <w:pPr>
        <w:pStyle w:val="Para 04"/>
      </w:pPr>
      <w:r>
        <w:rPr>
          <w:rStyle w:val="Text1"/>
        </w:rPr>
        <w:t xml:space="preserve">9. </w:t>
      </w:r>
      <w:r>
        <w:t xml:space="preserve">Open the System applet in Control Panel. </w:t>
      </w:r>
    </w:p>
    <w:p>
      <w:pPr>
        <w:pStyle w:val="Para 25"/>
      </w:pPr>
      <w:r>
        <w:t/>
      </w:r>
    </w:p>
    <w:p>
      <w:pPr>
        <w:pStyle w:val="Para 04"/>
      </w:pPr>
      <w:r>
        <w:rPr>
          <w:rStyle w:val="Text1"/>
        </w:rPr>
        <w:t xml:space="preserve">10. </w:t>
      </w:r>
      <w:r>
        <w:t xml:space="preserve">On the Advanced tab, under User Profiles, click Settings. </w:t>
      </w:r>
    </w:p>
    <w:p>
      <w:pPr>
        <w:pStyle w:val="Para 25"/>
      </w:pPr>
      <w:r>
        <w:t/>
      </w:r>
    </w:p>
    <w:p>
      <w:pPr>
        <w:pStyle w:val="Para 04"/>
      </w:pPr>
      <w:r>
        <w:rPr>
          <w:rStyle w:val="Text1"/>
        </w:rPr>
        <w:t xml:space="preserve">11. </w:t>
      </w:r>
      <w:r>
        <w:t xml:space="preserve">Under </w:t>
      </w:r>
      <w:r>
        <w:rPr>
          <w:rStyle w:val="Text0"/>
        </w:rPr>
        <w:t>Profiles stored on this computer</w:t>
      </w:r>
      <w:r>
        <w:t xml:space="preserve">, select the user that you created in step 1, click </w:t>
      </w:r>
    </w:p>
    <w:p>
      <w:pPr>
        <w:pStyle w:val="Para 01"/>
      </w:pPr>
      <w:r>
        <w:t xml:space="preserve">Copy To, and enter the path specified for the user’s roaming profile. </w:t>
      </w:r>
    </w:p>
    <w:p>
      <w:pPr>
        <w:pStyle w:val="Para 25"/>
      </w:pPr>
      <w:r>
        <w:t/>
      </w:r>
    </w:p>
    <w:p>
      <w:pPr>
        <w:pStyle w:val="Para 04"/>
      </w:pPr>
      <w:r>
        <w:rPr>
          <w:rStyle w:val="Text1"/>
        </w:rPr>
        <w:t xml:space="preserve">12. </w:t>
      </w:r>
      <w:r>
        <w:t xml:space="preserve">In the Copy To dialog box under </w:t>
      </w:r>
      <w:r>
        <w:rPr>
          <w:rStyle w:val="Text0"/>
        </w:rPr>
        <w:t>Permitted to use</w:t>
      </w:r>
      <w:r>
        <w:t xml:space="preserve">, click Change, and in the Select User </w:t>
      </w:r>
    </w:p>
    <w:p>
      <w:pPr>
        <w:pStyle w:val="Para 01"/>
      </w:pPr>
      <w:r>
        <w:t xml:space="preserve">or Group dialog box, select the user to whom you are assigning the profile.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68" name="index-75_1.png" descr="index-75_1.png"/>
            <wp:cNvGraphicFramePr>
              <a:graphicFrameLocks noChangeAspect="1"/>
            </wp:cNvGraphicFramePr>
            <a:graphic>
              <a:graphicData uri="http://schemas.openxmlformats.org/drawingml/2006/picture">
                <pic:pic>
                  <pic:nvPicPr>
                    <pic:cNvPr id="0" name="index-75_1.png" descr="index-75_1.png"/>
                    <pic:cNvPicPr/>
                  </pic:nvPicPr>
                  <pic:blipFill>
                    <a:blip r:embed="rId17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69" name="index-75_2.png" descr="index-75_2.png"/>
            <wp:cNvGraphicFramePr>
              <a:graphicFrameLocks noChangeAspect="1"/>
            </wp:cNvGraphicFramePr>
            <a:graphic>
              <a:graphicData uri="http://schemas.openxmlformats.org/drawingml/2006/picture">
                <pic:pic>
                  <pic:nvPicPr>
                    <pic:cNvPr id="0" name="index-75_2.png" descr="index-75_2.png"/>
                    <pic:cNvPicPr/>
                  </pic:nvPicPr>
                  <pic:blipFill>
                    <a:blip r:embed="rId173"/>
                    <a:stretch>
                      <a:fillRect/>
                    </a:stretch>
                  </pic:blipFill>
                  <pic:spPr>
                    <a:xfrm>
                      <a:off x="0" y="0"/>
                      <a:ext cx="914400" cy="444500"/>
                    </a:xfrm>
                    <a:prstGeom prst="rect">
                      <a:avLst/>
                    </a:prstGeom>
                  </pic:spPr>
                </pic:pic>
              </a:graphicData>
            </a:graphic>
          </wp:anchor>
        </w:drawing>
      </w:r>
    </w:p>
    <w:p>
      <w:pPr>
        <w:pStyle w:val="0 Block"/>
      </w:pPr>
    </w:p>
    <w:p>
      <w:bookmarkStart w:id="80" w:name="Chapter_3_12"/>
      <w:pPr>
        <w:pStyle w:val="Heading 1"/>
        <w:pageBreakBefore w:val="on"/>
      </w:pPr>
      <w:r>
        <w:t>Chapter 3</w:t>
      </w:r>
      <w:bookmarkEnd w:id="80"/>
    </w:p>
    <w:p>
      <w:pPr>
        <w:pStyle w:val="Para 25"/>
      </w:pPr>
      <w:r>
        <w:t/>
      </w:r>
    </w:p>
    <w:p>
      <w:pPr>
        <w:pStyle w:val="Para 07"/>
      </w:pPr>
      <w:r>
        <w:t xml:space="preserve">Default Profiles </w:t>
      </w:r>
    </w:p>
    <w:p>
      <w:pPr>
        <w:pStyle w:val="Normal"/>
      </w:pPr>
      <w:r>
        <w:t xml:space="preserve">The default user profile is used as the starting point for new user profiles that are generated when </w:t>
      </w:r>
    </w:p>
    <w:p>
      <w:pPr>
        <w:pStyle w:val="Normal"/>
      </w:pPr>
      <w:r>
        <w:t xml:space="preserve">a local or roaming profile is not available for a user logging onto the computer. To create a </w:t>
      </w:r>
    </w:p>
    <w:p>
      <w:pPr>
        <w:pStyle w:val="Normal"/>
      </w:pPr>
      <w:r>
        <w:t xml:space="preserve">custom default user profile, follow these steps: </w:t>
      </w:r>
    </w:p>
    <w:p>
      <w:pPr>
        <w:pStyle w:val="Para 25"/>
      </w:pPr>
      <w:r>
        <w:t/>
      </w:r>
    </w:p>
    <w:p>
      <w:pPr>
        <w:pStyle w:val="Para 04"/>
      </w:pPr>
      <w:r>
        <w:rPr>
          <w:rStyle w:val="Text1"/>
        </w:rPr>
        <w:t xml:space="preserve">13. </w:t>
      </w:r>
      <w:r>
        <w:t xml:space="preserve">Log on to the system as Local Administrator, and create a new local user account. </w:t>
      </w:r>
    </w:p>
    <w:p>
      <w:pPr>
        <w:pStyle w:val="Para 25"/>
      </w:pPr>
      <w:r>
        <w:t/>
      </w:r>
    </w:p>
    <w:p>
      <w:pPr>
        <w:pStyle w:val="Para 04"/>
      </w:pPr>
      <w:r>
        <w:rPr>
          <w:rStyle w:val="Text1"/>
        </w:rPr>
        <w:t xml:space="preserve">14. </w:t>
      </w:r>
      <w:r>
        <w:t xml:space="preserve">For NT, use User Manager and for Win2K and later systems, right-click My Computer </w:t>
      </w:r>
    </w:p>
    <w:p>
      <w:pPr>
        <w:pStyle w:val="Para 01"/>
      </w:pPr>
      <w:r>
        <w:t xml:space="preserve">and select Manage, to start the Microsoft Management Console (MMC) snap-in that </w:t>
      </w:r>
    </w:p>
    <w:p>
      <w:pPr>
        <w:pStyle w:val="Para 01"/>
      </w:pPr>
      <w:r>
        <w:t xml:space="preserve">allows local user account creation. </w:t>
      </w:r>
    </w:p>
    <w:p>
      <w:pPr>
        <w:pStyle w:val="Para 25"/>
      </w:pPr>
      <w:r>
        <w:t/>
      </w:r>
    </w:p>
    <w:p>
      <w:pPr>
        <w:pStyle w:val="Para 04"/>
      </w:pPr>
      <w:r>
        <w:rPr>
          <w:rStyle w:val="Text1"/>
        </w:rPr>
        <w:t xml:space="preserve">15. </w:t>
      </w:r>
      <w:r>
        <w:t xml:space="preserve">Log off of the computer, and log on again using the newly created local user account. </w:t>
      </w:r>
    </w:p>
    <w:p>
      <w:pPr>
        <w:pStyle w:val="Para 25"/>
      </w:pPr>
      <w:r>
        <w:t/>
      </w:r>
    </w:p>
    <w:p>
      <w:pPr>
        <w:pStyle w:val="Para 04"/>
      </w:pPr>
      <w:r>
        <w:rPr>
          <w:rStyle w:val="Text1"/>
        </w:rPr>
        <w:t xml:space="preserve">16. </w:t>
      </w:r>
      <w:r>
        <w:t xml:space="preserve">Customize the system as you want default users configured. </w:t>
      </w:r>
    </w:p>
    <w:p>
      <w:pPr>
        <w:pStyle w:val="Para 25"/>
      </w:pPr>
      <w:r>
        <w:t/>
      </w:r>
    </w:p>
    <w:p>
      <w:pPr>
        <w:pStyle w:val="Para 04"/>
      </w:pPr>
      <w:r>
        <w:rPr>
          <w:rStyle w:val="Text1"/>
        </w:rPr>
        <w:t xml:space="preserve">17. </w:t>
      </w:r>
      <w:r>
        <w:t xml:space="preserve">Log off of the system when customization is complete, then log on again as the Local </w:t>
      </w:r>
    </w:p>
    <w:p>
      <w:pPr>
        <w:pStyle w:val="Para 01"/>
      </w:pPr>
      <w:r>
        <w:t xml:space="preserve">Administrator. </w:t>
      </w:r>
    </w:p>
    <w:p>
      <w:pPr>
        <w:pStyle w:val="Para 25"/>
      </w:pPr>
      <w:r>
        <w:t/>
      </w:r>
    </w:p>
    <w:p>
      <w:pPr>
        <w:pStyle w:val="Para 04"/>
      </w:pPr>
      <w:r>
        <w:rPr>
          <w:rStyle w:val="Text1"/>
        </w:rPr>
        <w:t xml:space="preserve">18. </w:t>
      </w:r>
      <w:r>
        <w:t xml:space="preserve">From the Control Panel, launch the System applet. </w:t>
      </w:r>
    </w:p>
    <w:p>
      <w:pPr>
        <w:pStyle w:val="Para 25"/>
      </w:pPr>
      <w:r>
        <w:t/>
      </w:r>
    </w:p>
    <w:p>
      <w:pPr>
        <w:pStyle w:val="Para 04"/>
      </w:pPr>
      <w:r>
        <w:rPr>
          <w:rStyle w:val="Text1"/>
        </w:rPr>
        <w:t xml:space="preserve">19. </w:t>
      </w:r>
      <w:r>
        <w:t xml:space="preserve">On the Advanced tab under User Profiles, click Settings (for NT, select the User Profiles </w:t>
      </w:r>
    </w:p>
    <w:p>
      <w:pPr>
        <w:pStyle w:val="Para 01"/>
      </w:pPr>
      <w:r>
        <w:t>tab), click the user profile that you just created, then click Copy To. In the Copy To dialog box, specify the location as &lt;</w:t>
      </w:r>
      <w:r>
        <w:rPr>
          <w:rStyle w:val="Text0"/>
        </w:rPr>
        <w:t>local user profile path&gt;</w:t>
      </w:r>
      <w:r>
        <w:t xml:space="preserve">\Default User to create a </w:t>
      </w:r>
    </w:p>
    <w:p>
      <w:pPr>
        <w:pStyle w:val="Para 01"/>
      </w:pPr>
      <w:r>
        <w:t xml:space="preserve">custom local user profile or choose your network replication folder to create a network </w:t>
      </w:r>
    </w:p>
    <w:p>
      <w:pPr>
        <w:pStyle w:val="Para 01"/>
      </w:pPr>
      <w:r>
        <w:t xml:space="preserve">default user profile. </w:t>
      </w:r>
    </w:p>
    <w:p>
      <w:pPr>
        <w:pStyle w:val="Para 25"/>
      </w:pPr>
      <w:r>
        <w:t/>
      </w:r>
    </w:p>
    <w:p>
      <w:pPr>
        <w:pStyle w:val="Para 04"/>
      </w:pPr>
      <w:r>
        <w:rPr>
          <w:rStyle w:val="Text1"/>
        </w:rPr>
        <w:t xml:space="preserve">20. </w:t>
      </w:r>
      <w:r>
        <w:t xml:space="preserve">Under </w:t>
      </w:r>
      <w:r>
        <w:rPr>
          <w:rStyle w:val="Text0"/>
        </w:rPr>
        <w:t>Permitted to use</w:t>
      </w:r>
      <w:r>
        <w:t xml:space="preserve">, click Change, and select Everyone. Finally, click OK to </w:t>
      </w:r>
    </w:p>
    <w:p>
      <w:pPr>
        <w:pStyle w:val="Para 01"/>
      </w:pPr>
      <w:r>
        <w:t xml:space="preserve">complete the process. </w:t>
      </w:r>
    </w:p>
    <w:p>
      <w:pPr>
        <w:pStyle w:val="Para 25"/>
      </w:pPr>
      <w:r>
        <w:t/>
      </w:r>
    </w:p>
    <w:p>
      <w:pPr>
        <w:pStyle w:val="Para 02"/>
      </w:pPr>
      <w:r>
        <w:t xml:space="preserve">If you want a domain-wide default profile, enter the path to NETLOGON\Default User on the domain </w:t>
      </w:r>
    </w:p>
    <w:p>
      <w:pPr>
        <w:pStyle w:val="Para 02"/>
      </w:pPr>
      <w:r>
        <w:t xml:space="preserve">controller. Doing so creates the default user profile for the domain. To create a network default user </w:t>
      </w:r>
    </w:p>
    <w:p>
      <w:pPr>
        <w:pStyle w:val="Para 02"/>
      </w:pPr>
      <w:r>
        <w:t xml:space="preserve">profile, specify the replication directory (the Netlogon share is a read-only share). For Active Directory </w:t>
      </w:r>
    </w:p>
    <w:p>
      <w:pPr>
        <w:pStyle w:val="Para 02"/>
      </w:pPr>
      <w:r>
        <w:t xml:space="preserve">(AD) environments, choose the share location from SYSVOL. In either case, the profile should be </w:t>
      </w:r>
    </w:p>
    <w:p>
      <w:pPr>
        <w:pStyle w:val="Para 02"/>
      </w:pPr>
      <w:r>
        <w:t xml:space="preserve">saved as Default User. </w:t>
      </w:r>
    </w:p>
    <w:p>
      <w:pPr>
        <w:pStyle w:val="Para 25"/>
      </w:pPr>
      <w:r>
        <w:t/>
      </w:r>
    </w:p>
    <w:p>
      <w:pPr>
        <w:pStyle w:val="Para 02"/>
      </w:pPr>
      <w:r>
        <w:t>Need to open System from a command line as an administrator? On Win2K and later, don’t log off—</w:t>
      </w:r>
    </w:p>
    <w:p>
      <w:pPr>
        <w:pStyle w:val="Para 02"/>
      </w:pPr>
      <w:r>
        <w:t xml:space="preserve">instead type </w:t>
      </w:r>
    </w:p>
    <w:p>
      <w:pPr>
        <w:pStyle w:val="Para 14"/>
      </w:pPr>
      <w:r>
        <w:t xml:space="preserve"> runas/user:</w:t>
      </w:r>
      <w:r>
        <w:rPr>
          <w:rStyle w:val="Text0"/>
        </w:rPr>
        <w:t>computername</w:t>
      </w:r>
      <w:r>
        <w:t xml:space="preserve">\Administrator"rundll32.exeshell32.dll,Control_RunDLLsysdm.cpl" </w:t>
      </w:r>
    </w:p>
    <w:p>
      <w:pPr>
        <w:pStyle w:val="Para 14"/>
      </w:pPr>
      <w:r>
        <w:t xml:space="preserve"> Keep in mind that you cannot copy or delete a user profile that belongs to the currently logged on </w:t>
      </w:r>
    </w:p>
    <w:p>
      <w:pPr>
        <w:pStyle w:val="Para 02"/>
      </w:pPr>
      <w:r>
        <w:t xml:space="preserve">user or any user whose profile is in use. </w:t>
      </w:r>
    </w:p>
    <w:p>
      <w:pPr>
        <w:pStyle w:val="Para 25"/>
      </w:pPr>
      <w:r>
        <w:t/>
      </w:r>
    </w:p>
    <w:p>
      <w:pPr>
        <w:pStyle w:val="Normal"/>
      </w:pPr>
      <w:r>
        <w:t xml:space="preserve">You can store the default user profile in either the Netlogon share of domain controllers or locally on each system. It is common to utilize both, but understand the precedence taken to </w:t>
      </w:r>
    </w:p>
    <w:p>
      <w:pPr>
        <w:pStyle w:val="Normal"/>
      </w:pPr>
      <w:r>
        <w:t xml:space="preserve">determine when each is used: when available, the network copy of the default user profile will be </w:t>
      </w:r>
    </w:p>
    <w:p>
      <w:pPr>
        <w:pStyle w:val="Normal"/>
      </w:pPr>
      <w:r>
        <w:t xml:space="preserve">used and not the local copy. In fact, unless the network is unavailable or you are dealing with a user logging onto the computer locally (not the domain), the default user profile on the local </w:t>
      </w:r>
    </w:p>
    <w:p>
      <w:pPr>
        <w:pStyle w:val="Normal"/>
      </w:pPr>
      <w:r>
        <w:t xml:space="preserve">machine might never be used. The following list describes the order used to determine which </w:t>
      </w:r>
    </w:p>
    <w:p>
      <w:pPr>
        <w:pStyle w:val="Normal"/>
      </w:pPr>
      <w:r>
        <w:t xml:space="preserve">profile is employed for a user: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70" name="index-76_1.png" descr="index-76_1.png"/>
            <wp:cNvGraphicFramePr>
              <a:graphicFrameLocks noChangeAspect="1"/>
            </wp:cNvGraphicFramePr>
            <a:graphic>
              <a:graphicData uri="http://schemas.openxmlformats.org/drawingml/2006/picture">
                <pic:pic>
                  <pic:nvPicPr>
                    <pic:cNvPr id="0" name="index-76_1.png" descr="index-76_1.png"/>
                    <pic:cNvPicPr/>
                  </pic:nvPicPr>
                  <pic:blipFill>
                    <a:blip r:embed="rId17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71" name="index-76_2.png" descr="index-76_2.png"/>
            <wp:cNvGraphicFramePr>
              <a:graphicFrameLocks noChangeAspect="1"/>
            </wp:cNvGraphicFramePr>
            <a:graphic>
              <a:graphicData uri="http://schemas.openxmlformats.org/drawingml/2006/picture">
                <pic:pic>
                  <pic:nvPicPr>
                    <pic:cNvPr id="0" name="index-76_2.png" descr="index-76_2.png"/>
                    <pic:cNvPicPr/>
                  </pic:nvPicPr>
                  <pic:blipFill>
                    <a:blip r:embed="rId175"/>
                    <a:stretch>
                      <a:fillRect/>
                    </a:stretch>
                  </pic:blipFill>
                  <pic:spPr>
                    <a:xfrm>
                      <a:off x="0" y="0"/>
                      <a:ext cx="914400" cy="444500"/>
                    </a:xfrm>
                    <a:prstGeom prst="rect">
                      <a:avLst/>
                    </a:prstGeom>
                  </pic:spPr>
                </pic:pic>
              </a:graphicData>
            </a:graphic>
          </wp:anchor>
        </w:drawing>
      </w:r>
    </w:p>
    <w:p>
      <w:pPr>
        <w:pStyle w:val="0 Block"/>
      </w:pPr>
    </w:p>
    <w:p>
      <w:bookmarkStart w:id="81" w:name="Chapter_3_13"/>
      <w:pPr>
        <w:pStyle w:val="Heading 1"/>
        <w:pageBreakBefore w:val="on"/>
      </w:pPr>
      <w:r>
        <w:t>Chapter 3</w:t>
      </w:r>
      <w:bookmarkEnd w:id="81"/>
    </w:p>
    <w:p>
      <w:pPr>
        <w:pStyle w:val="Para 25"/>
      </w:pPr>
      <w:r>
        <w:t/>
      </w:r>
    </w:p>
    <w:p>
      <w:pPr>
        <w:pStyle w:val="Para 04"/>
      </w:pPr>
      <w:r>
        <w:t xml:space="preserve">• </w:t>
        <w:t xml:space="preserve">Is there a central (roaming) profile defined in User Manager for Domains? If yes, any </w:t>
      </w:r>
    </w:p>
    <w:p>
      <w:pPr>
        <w:pStyle w:val="Para 01"/>
      </w:pPr>
      <w:r>
        <w:t xml:space="preserve">profile created locally will become a roaming profile (otherwise the profile will be </w:t>
      </w:r>
    </w:p>
    <w:p>
      <w:pPr>
        <w:pStyle w:val="Para 01"/>
      </w:pPr>
      <w:r>
        <w:t xml:space="preserve">created as a local profile). </w:t>
      </w:r>
    </w:p>
    <w:p>
      <w:pPr>
        <w:pStyle w:val="Para 25"/>
      </w:pPr>
      <w:r>
        <w:t/>
      </w:r>
    </w:p>
    <w:p>
      <w:pPr>
        <w:pStyle w:val="Para 04"/>
      </w:pPr>
      <w:r>
        <w:t xml:space="preserve">• If yes, does the roaming profile exist? If yes, use the roaming profile. </w:t>
      </w:r>
    </w:p>
    <w:p>
      <w:pPr>
        <w:pStyle w:val="Para 25"/>
      </w:pPr>
      <w:r>
        <w:t/>
      </w:r>
    </w:p>
    <w:p>
      <w:pPr>
        <w:pStyle w:val="Para 04"/>
      </w:pPr>
      <w:r>
        <w:t xml:space="preserve">• If no, does this user have a local profile? If yes, use local profile. </w:t>
      </w:r>
    </w:p>
    <w:p>
      <w:pPr>
        <w:pStyle w:val="Para 25"/>
      </w:pPr>
      <w:r>
        <w:t/>
      </w:r>
    </w:p>
    <w:p>
      <w:pPr>
        <w:pStyle w:val="Para 04"/>
      </w:pPr>
      <w:r>
        <w:t xml:space="preserve">• </w:t>
        <w:t xml:space="preserve">If no, does Default User exist on the Netlogon share of the validating domain controller? </w:t>
      </w:r>
    </w:p>
    <w:p>
      <w:pPr>
        <w:pStyle w:val="Para 01"/>
      </w:pPr>
      <w:r>
        <w:t xml:space="preserve">If yes, use the network default user profile to generate a new user profile. </w:t>
      </w:r>
    </w:p>
    <w:p>
      <w:pPr>
        <w:pStyle w:val="Para 25"/>
      </w:pPr>
      <w:r>
        <w:t/>
      </w:r>
    </w:p>
    <w:p>
      <w:pPr>
        <w:pStyle w:val="Para 04"/>
      </w:pPr>
      <w:r>
        <w:t xml:space="preserve">• </w:t>
        <w:t xml:space="preserve">If no, does Default User exist in the local profile directory? If yes, use the local default </w:t>
      </w:r>
    </w:p>
    <w:p>
      <w:pPr>
        <w:pStyle w:val="Para 01"/>
      </w:pPr>
      <w:r>
        <w:t xml:space="preserve">user profile to generate a new user profile. </w:t>
      </w:r>
    </w:p>
    <w:p>
      <w:pPr>
        <w:pStyle w:val="Para 25"/>
      </w:pPr>
      <w:r>
        <w:t/>
      </w:r>
    </w:p>
    <w:p>
      <w:pPr>
        <w:pStyle w:val="Para 07"/>
      </w:pPr>
      <w:r>
        <w:t xml:space="preserve">Manual Profile Modifications </w:t>
      </w:r>
    </w:p>
    <w:p>
      <w:pPr>
        <w:pStyle w:val="Normal"/>
      </w:pPr>
      <w:r>
        <w:t xml:space="preserve">To manually customize a user profile, you can manipulate the file structure or registry hive </w:t>
      </w:r>
    </w:p>
    <w:p>
      <w:pPr>
        <w:pStyle w:val="Normal"/>
      </w:pPr>
      <w:r>
        <w:t xml:space="preserve">locally or from a network stored roaming profile. Keep in mind that if you are manipulating a </w:t>
      </w:r>
    </w:p>
    <w:p>
      <w:pPr>
        <w:pStyle w:val="Normal"/>
      </w:pPr>
      <w:r>
        <w:t xml:space="preserve">roaming profile, it might be overwritten locally when logging on or the network copy might be overwritten if the user then logs off. To edit a user’s registry entries, load the user’s registry hive </w:t>
      </w:r>
    </w:p>
    <w:p>
      <w:pPr>
        <w:pStyle w:val="Normal"/>
      </w:pPr>
      <w:r>
        <w:t xml:space="preserve">file as a new subkey, as Figure 3.8 shows.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71800" cy="2374900"/>
            <wp:effectExtent l="0" r="0" t="0" b="0"/>
            <wp:wrapTopAndBottom/>
            <wp:docPr id="172" name="index-77_1.png" descr="index-77_1.png"/>
            <wp:cNvGraphicFramePr>
              <a:graphicFrameLocks noChangeAspect="1"/>
            </wp:cNvGraphicFramePr>
            <a:graphic>
              <a:graphicData uri="http://schemas.openxmlformats.org/drawingml/2006/picture">
                <pic:pic>
                  <pic:nvPicPr>
                    <pic:cNvPr id="0" name="index-77_1.png" descr="index-77_1.png"/>
                    <pic:cNvPicPr/>
                  </pic:nvPicPr>
                  <pic:blipFill>
                    <a:blip r:embed="rId176"/>
                    <a:stretch>
                      <a:fillRect/>
                    </a:stretch>
                  </pic:blipFill>
                  <pic:spPr>
                    <a:xfrm>
                      <a:off x="0" y="0"/>
                      <a:ext cx="2971800" cy="23749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3.8: Loading another user profile as a new hive for manual editing. </w:t>
      </w:r>
    </w:p>
    <w:p>
      <w:pPr>
        <w:pStyle w:val="Para 25"/>
      </w:pPr>
      <w:r>
        <w:t/>
      </w:r>
    </w:p>
    <w:p>
      <w:pPr>
        <w:pStyle w:val="Para 04"/>
      </w:pPr>
      <w:r>
        <w:rPr>
          <w:rStyle w:val="Text1"/>
        </w:rPr>
        <w:t xml:space="preserve">21. </w:t>
      </w:r>
      <w:r>
        <w:t xml:space="preserve">Start regedt32.exe, and click on the root key of HKEY_USERS to highlight it. </w:t>
      </w:r>
    </w:p>
    <w:p>
      <w:pPr>
        <w:pStyle w:val="Para 25"/>
      </w:pPr>
      <w:r>
        <w:t/>
      </w:r>
    </w:p>
    <w:p>
      <w:pPr>
        <w:pStyle w:val="Para 04"/>
      </w:pPr>
      <w:r>
        <w:rPr>
          <w:rStyle w:val="Text1"/>
        </w:rPr>
        <w:t xml:space="preserve">22. </w:t>
      </w:r>
      <w:r>
        <w:t xml:space="preserve">From the Registry menu, select Load Hive. </w:t>
      </w:r>
    </w:p>
    <w:p>
      <w:pPr>
        <w:pStyle w:val="Para 25"/>
      </w:pPr>
      <w:r>
        <w:t/>
      </w:r>
    </w:p>
    <w:p>
      <w:pPr>
        <w:pStyle w:val="Para 04"/>
      </w:pPr>
      <w:r>
        <w:rPr>
          <w:rStyle w:val="Text1"/>
        </w:rPr>
        <w:t xml:space="preserve">23. </w:t>
      </w:r>
      <w:r>
        <w:t xml:space="preserve">Browse for the desired Ntuser.dat file to be manipulated.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73" name="index-77_2.png" descr="index-77_2.png"/>
            <wp:cNvGraphicFramePr>
              <a:graphicFrameLocks noChangeAspect="1"/>
            </wp:cNvGraphicFramePr>
            <a:graphic>
              <a:graphicData uri="http://schemas.openxmlformats.org/drawingml/2006/picture">
                <pic:pic>
                  <pic:nvPicPr>
                    <pic:cNvPr id="0" name="index-77_2.png" descr="index-77_2.png"/>
                    <pic:cNvPicPr/>
                  </pic:nvPicPr>
                  <pic:blipFill>
                    <a:blip r:embed="rId17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74" name="index-77_3.png" descr="index-77_3.png"/>
            <wp:cNvGraphicFramePr>
              <a:graphicFrameLocks noChangeAspect="1"/>
            </wp:cNvGraphicFramePr>
            <a:graphic>
              <a:graphicData uri="http://schemas.openxmlformats.org/drawingml/2006/picture">
                <pic:pic>
                  <pic:nvPicPr>
                    <pic:cNvPr id="0" name="index-77_3.png" descr="index-77_3.png"/>
                    <pic:cNvPicPr/>
                  </pic:nvPicPr>
                  <pic:blipFill>
                    <a:blip r:embed="rId178"/>
                    <a:stretch>
                      <a:fillRect/>
                    </a:stretch>
                  </pic:blipFill>
                  <pic:spPr>
                    <a:xfrm>
                      <a:off x="0" y="0"/>
                      <a:ext cx="914400" cy="444500"/>
                    </a:xfrm>
                    <a:prstGeom prst="rect">
                      <a:avLst/>
                    </a:prstGeom>
                  </pic:spPr>
                </pic:pic>
              </a:graphicData>
            </a:graphic>
          </wp:anchor>
        </w:drawing>
      </w:r>
    </w:p>
    <w:p>
      <w:pPr>
        <w:pStyle w:val="0 Block"/>
      </w:pPr>
    </w:p>
    <w:p>
      <w:bookmarkStart w:id="82" w:name="Chapter_3_14"/>
      <w:pPr>
        <w:pStyle w:val="Heading 1"/>
        <w:pageBreakBefore w:val="on"/>
      </w:pPr>
      <w:r>
        <w:t>Chapter 3</w:t>
      </w:r>
      <w:bookmarkEnd w:id="82"/>
    </w:p>
    <w:p>
      <w:pPr>
        <w:pStyle w:val="Para 25"/>
      </w:pPr>
      <w:r>
        <w:t/>
      </w:r>
    </w:p>
    <w:p>
      <w:pPr>
        <w:pStyle w:val="Para 04"/>
      </w:pPr>
      <w:r>
        <w:rPr>
          <w:rStyle w:val="Text1"/>
        </w:rPr>
        <w:t xml:space="preserve">24. </w:t>
      </w:r>
      <w:r>
        <w:t xml:space="preserve">A dialog box will prompt you to enter a key name. Enter the UserID to identify the </w:t>
      </w:r>
    </w:p>
    <w:p>
      <w:pPr>
        <w:pStyle w:val="Para 01"/>
      </w:pPr>
      <w:r>
        <w:t xml:space="preserve">profile being loaded, and click Enter. </w:t>
      </w:r>
    </w:p>
    <w:p>
      <w:pPr>
        <w:pStyle w:val="Para 25"/>
      </w:pPr>
      <w:r>
        <w:t/>
      </w:r>
    </w:p>
    <w:p>
      <w:pPr>
        <w:pStyle w:val="Para 04"/>
      </w:pPr>
      <w:r>
        <w:rPr>
          <w:rStyle w:val="Text1"/>
        </w:rPr>
        <w:t xml:space="preserve">25. </w:t>
      </w:r>
      <w:r>
        <w:t xml:space="preserve">Click Enter to add the profile registry hive as a subkey to HKEY_USERS, as Figure 3.8 </w:t>
      </w:r>
    </w:p>
    <w:p>
      <w:pPr>
        <w:pStyle w:val="Para 01"/>
      </w:pPr>
      <w:r>
        <w:t xml:space="preserve">shows (in this case, nkelly). </w:t>
      </w:r>
    </w:p>
    <w:p>
      <w:pPr>
        <w:pStyle w:val="Para 25"/>
      </w:pPr>
      <w:r>
        <w:t/>
      </w:r>
    </w:p>
    <w:p>
      <w:pPr>
        <w:pStyle w:val="Para 04"/>
      </w:pPr>
      <w:r>
        <w:rPr>
          <w:rStyle w:val="Text1"/>
        </w:rPr>
        <w:t xml:space="preserve">26. </w:t>
      </w:r>
      <w:r>
        <w:t xml:space="preserve">Edit the existing values as desired. </w:t>
      </w:r>
    </w:p>
    <w:p>
      <w:pPr>
        <w:pStyle w:val="Para 25"/>
      </w:pPr>
      <w:r>
        <w:t/>
      </w:r>
    </w:p>
    <w:p>
      <w:pPr>
        <w:pStyle w:val="Para 04"/>
      </w:pPr>
      <w:r>
        <w:rPr>
          <w:rStyle w:val="Text1"/>
        </w:rPr>
        <w:t xml:space="preserve">27. </w:t>
      </w:r>
      <w:r>
        <w:t xml:space="preserve">After completing the changes, highlight the root of the user’s profile registry key, and </w:t>
      </w:r>
    </w:p>
    <w:p>
      <w:pPr>
        <w:pStyle w:val="Para 01"/>
      </w:pPr>
      <w:r>
        <w:t xml:space="preserve">from the Registry menu, select Unload Hive to save the changes to the user’s profile. </w:t>
      </w:r>
    </w:p>
    <w:p>
      <w:pPr>
        <w:pStyle w:val="Para 25"/>
      </w:pPr>
      <w:r>
        <w:t/>
      </w:r>
    </w:p>
    <w:p>
      <w:pPr>
        <w:pStyle w:val="Para 12"/>
      </w:pPr>
      <w:r>
        <w:t xml:space="preserve">Dictating Data Storage </w:t>
      </w:r>
    </w:p>
    <w:p>
      <w:pPr>
        <w:pStyle w:val="Para 25"/>
      </w:pPr>
      <w:r>
        <w:t/>
      </w:r>
    </w:p>
    <w:p>
      <w:pPr>
        <w:pStyle w:val="Normal"/>
      </w:pPr>
      <w:r>
        <w:t xml:space="preserve">Where do you want users storing their data? The answer to this question should be carefully </w:t>
      </w:r>
    </w:p>
    <w:p>
      <w:pPr>
        <w:pStyle w:val="Normal"/>
      </w:pPr>
      <w:r>
        <w:t>considered. Once you decide, you need to determine how you’ll enforce the storage policy—</w:t>
      </w:r>
    </w:p>
    <w:p>
      <w:pPr>
        <w:pStyle w:val="Normal"/>
      </w:pPr>
      <w:r>
        <w:t xml:space="preserve">perhaps through written company policies or by denying users access to save to undesired locations. There are a handful of options that you can implement in several ways, as we will </w:t>
      </w:r>
    </w:p>
    <w:p>
      <w:pPr>
        <w:pStyle w:val="Normal"/>
      </w:pPr>
      <w:r>
        <w:t xml:space="preserve">discuss in the following sections. </w:t>
      </w:r>
    </w:p>
    <w:p>
      <w:pPr>
        <w:pStyle w:val="Para 25"/>
      </w:pPr>
      <w:r>
        <w:t/>
      </w:r>
    </w:p>
    <w:p>
      <w:pPr>
        <w:pStyle w:val="Para 07"/>
      </w:pPr>
      <w:r>
        <w:t xml:space="preserve">Network Share </w:t>
      </w:r>
    </w:p>
    <w:p>
      <w:pPr>
        <w:pStyle w:val="Normal"/>
      </w:pPr>
      <w:r>
        <w:t xml:space="preserve">Most environments prefer that user data be stored on a network share so that it might be easily </w:t>
      </w:r>
    </w:p>
    <w:p>
      <w:pPr>
        <w:pStyle w:val="Normal"/>
      </w:pPr>
      <w:r>
        <w:t xml:space="preserve">backed up. You can create different shares to store data files by category or to share documents with other users in any specified group. Controlling who maps such drives and who should have </w:t>
      </w:r>
    </w:p>
    <w:p>
      <w:pPr>
        <w:pStyle w:val="Normal"/>
      </w:pPr>
      <w:r>
        <w:t xml:space="preserve">access is often specified by group membership. </w:t>
      </w:r>
    </w:p>
    <w:p>
      <w:pPr>
        <w:pStyle w:val="Para 25"/>
      </w:pPr>
      <w:r>
        <w:t/>
      </w:r>
    </w:p>
    <w:p>
      <w:pPr>
        <w:pStyle w:val="Para 09"/>
      </w:pPr>
      <w:r>
        <w:t xml:space="preserve">User Home Directory </w:t>
      </w:r>
    </w:p>
    <w:p>
      <w:pPr>
        <w:pStyle w:val="Para 25"/>
      </w:pPr>
      <w:r>
        <w:t/>
      </w:r>
    </w:p>
    <w:p>
      <w:pPr>
        <w:pStyle w:val="Normal"/>
      </w:pPr>
      <w:r>
        <w:t xml:space="preserve">You can specify the user home directory as a local directory or network share (see Figure 3.3). </w:t>
      </w:r>
    </w:p>
    <w:p>
      <w:pPr>
        <w:pStyle w:val="Normal"/>
      </w:pPr>
      <w:r>
        <w:t xml:space="preserve">When a network share is specified, a drive letter to map the share to is also identified. During the </w:t>
      </w:r>
    </w:p>
    <w:p>
      <w:pPr>
        <w:pStyle w:val="Normal"/>
      </w:pPr>
      <w:r>
        <w:t xml:space="preserve">logon process, the home drive is mapped to the designated drive letter. </w:t>
      </w:r>
    </w:p>
    <w:p>
      <w:pPr>
        <w:pStyle w:val="Para 25"/>
      </w:pPr>
      <w:r>
        <w:t/>
      </w:r>
    </w:p>
    <w:p>
      <w:pPr>
        <w:pStyle w:val="Normal"/>
      </w:pPr>
      <w:r>
        <w:t xml:space="preserve">The user home directory is created at the time it is specified in the user profile and its default security settings allow only the user assigned to the home directory to have access. Some </w:t>
      </w:r>
    </w:p>
    <w:p>
      <w:pPr>
        <w:pStyle w:val="Normal"/>
      </w:pPr>
      <w:r>
        <w:t xml:space="preserve">administrators choose to create a separate share for each user; others choose to create a single </w:t>
      </w:r>
    </w:p>
    <w:p>
      <w:pPr>
        <w:pStyle w:val="Normal"/>
      </w:pPr>
      <w:r>
        <w:t xml:space="preserve">share and include all user home directories within it. Either way, you can use file security to restrict unauthorized users from access. </w:t>
      </w:r>
    </w:p>
    <w:p>
      <w:pPr>
        <w:pStyle w:val="Para 25"/>
      </w:pPr>
      <w:r>
        <w:t/>
      </w:r>
    </w:p>
    <w:p>
      <w:pPr>
        <w:pStyle w:val="Para 02"/>
      </w:pPr>
      <w:r>
        <w:t xml:space="preserve">Having both a home directory and roaming profile set to the same path can result in all files in the </w:t>
      </w:r>
    </w:p>
    <w:p>
      <w:pPr>
        <w:pStyle w:val="Para 02"/>
      </w:pPr>
      <w:r>
        <w:t xml:space="preserve">home directory being deleted when a user logs off. However, it is acceptable to make the profile </w:t>
      </w:r>
    </w:p>
    <w:p>
      <w:pPr>
        <w:pStyle w:val="Para 02"/>
      </w:pPr>
      <w:r>
        <w:t xml:space="preserve">directory a subdirectory of the home directory (for example, </w:t>
      </w:r>
    </w:p>
    <w:p>
      <w:pPr>
        <w:pStyle w:val="Para 02"/>
      </w:pPr>
      <w:r>
        <w:t xml:space="preserve">\\Server\Share\UserHomeDirectory\Profile).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75" name="index-78_1.png" descr="index-78_1.png"/>
            <wp:cNvGraphicFramePr>
              <a:graphicFrameLocks noChangeAspect="1"/>
            </wp:cNvGraphicFramePr>
            <a:graphic>
              <a:graphicData uri="http://schemas.openxmlformats.org/drawingml/2006/picture">
                <pic:pic>
                  <pic:nvPicPr>
                    <pic:cNvPr id="0" name="index-78_1.png" descr="index-78_1.png"/>
                    <pic:cNvPicPr/>
                  </pic:nvPicPr>
                  <pic:blipFill>
                    <a:blip r:embed="rId17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76" name="index-78_2.png" descr="index-78_2.png"/>
            <wp:cNvGraphicFramePr>
              <a:graphicFrameLocks noChangeAspect="1"/>
            </wp:cNvGraphicFramePr>
            <a:graphic>
              <a:graphicData uri="http://schemas.openxmlformats.org/drawingml/2006/picture">
                <pic:pic>
                  <pic:nvPicPr>
                    <pic:cNvPr id="0" name="index-78_2.png" descr="index-78_2.png"/>
                    <pic:cNvPicPr/>
                  </pic:nvPicPr>
                  <pic:blipFill>
                    <a:blip r:embed="rId180"/>
                    <a:stretch>
                      <a:fillRect/>
                    </a:stretch>
                  </pic:blipFill>
                  <pic:spPr>
                    <a:xfrm>
                      <a:off x="0" y="0"/>
                      <a:ext cx="914400" cy="444500"/>
                    </a:xfrm>
                    <a:prstGeom prst="rect">
                      <a:avLst/>
                    </a:prstGeom>
                  </pic:spPr>
                </pic:pic>
              </a:graphicData>
            </a:graphic>
          </wp:anchor>
        </w:drawing>
      </w:r>
    </w:p>
    <w:p>
      <w:pPr>
        <w:pStyle w:val="0 Block"/>
      </w:pPr>
    </w:p>
    <w:p>
      <w:bookmarkStart w:id="83" w:name="Chapter_3_15"/>
      <w:pPr>
        <w:pStyle w:val="Heading 1"/>
        <w:pageBreakBefore w:val="on"/>
      </w:pPr>
      <w:r>
        <w:t>Chapter 3</w:t>
      </w:r>
      <w:bookmarkEnd w:id="83"/>
    </w:p>
    <w:p>
      <w:pPr>
        <w:pStyle w:val="Para 25"/>
      </w:pPr>
      <w:r>
        <w:t/>
      </w:r>
    </w:p>
    <w:p>
      <w:pPr>
        <w:pStyle w:val="Para 09"/>
      </w:pPr>
      <w:r>
        <w:t xml:space="preserve">Single Share </w:t>
      </w:r>
    </w:p>
    <w:p>
      <w:pPr>
        <w:pStyle w:val="Para 25"/>
      </w:pPr>
      <w:r>
        <w:t/>
      </w:r>
    </w:p>
    <w:p>
      <w:pPr>
        <w:pStyle w:val="Normal"/>
      </w:pPr>
      <w:r>
        <w:t xml:space="preserve">For the single share method, create and share a folder as the root folder for storing user home </w:t>
      </w:r>
    </w:p>
    <w:p>
      <w:pPr>
        <w:pStyle w:val="Normal"/>
      </w:pPr>
      <w:r>
        <w:t xml:space="preserve">directories. Append a dollar sign ($) to the share name if you would like it hidden from users browsing the network (\\server\homes$). Set the NTFS and Share level security to allow all users </w:t>
      </w:r>
    </w:p>
    <w:p>
      <w:pPr>
        <w:pStyle w:val="Normal"/>
      </w:pPr>
      <w:r>
        <w:t xml:space="preserve">access to the share (the default security will be to allow full control to the Everyone group). In </w:t>
      </w:r>
    </w:p>
    <w:p>
      <w:pPr>
        <w:pStyle w:val="Normal"/>
      </w:pPr>
      <w:r>
        <w:t xml:space="preserve">the user profile (see Figure 3.3 earlier in this chapter), enter the share path using the local path to the share and entering the username as the folder (for example, \\server\roaming$\bkelly). The </w:t>
      </w:r>
    </w:p>
    <w:p>
      <w:pPr>
        <w:pStyle w:val="Normal"/>
      </w:pPr>
      <w:r>
        <w:t xml:space="preserve">home directory will be created at the time it is specified here. </w:t>
      </w:r>
    </w:p>
    <w:p>
      <w:pPr>
        <w:pStyle w:val="Para 25"/>
      </w:pPr>
      <w:r>
        <w:t/>
      </w:r>
    </w:p>
    <w:p>
      <w:pPr>
        <w:pStyle w:val="Normal"/>
      </w:pPr>
      <w:r>
        <w:t xml:space="preserve">On Win2K and later systems, you can use </w:t>
      </w:r>
      <w:r>
        <w:rPr>
          <w:rStyle w:val="Text0"/>
        </w:rPr>
        <w:t xml:space="preserve">deep mapping </w:t>
      </w:r>
      <w:r>
        <w:t xml:space="preserve">support, which allows for drives to be </w:t>
      </w:r>
    </w:p>
    <w:p>
      <w:pPr>
        <w:pStyle w:val="Normal"/>
      </w:pPr>
      <w:r>
        <w:t xml:space="preserve">mapped to a directory within a share. Particularly when dealing with user profiles, deep mapping is a very helpful feature. By mapping to, for example, \\server\roaming$\bkelly, a user sees his or </w:t>
      </w:r>
    </w:p>
    <w:p>
      <w:pPr>
        <w:pStyle w:val="Normal"/>
      </w:pPr>
      <w:r>
        <w:t xml:space="preserve">her data directly within the user’s mapped home drive. On NT and earlier clients, mapping </w:t>
      </w:r>
    </w:p>
    <w:p>
      <w:pPr>
        <w:pStyle w:val="Normal"/>
      </w:pPr>
      <w:r>
        <w:t>directly to a subdirectory (</w:t>
      </w:r>
      <w:r>
        <w:rPr>
          <w:rStyle w:val="Text0"/>
        </w:rPr>
        <w:t>deep mapping</w:t>
      </w:r>
      <w:r>
        <w:t xml:space="preserve">) is not supported. In this case, you could map to \\server\roaming$, for example, and the user would need to open the directory identified by his </w:t>
      </w:r>
    </w:p>
    <w:p>
      <w:pPr>
        <w:pStyle w:val="Normal"/>
      </w:pPr>
      <w:r>
        <w:t xml:space="preserve">or her user name. Though security restrictions will keep users from accessing each other’s home </w:t>
      </w:r>
    </w:p>
    <w:p>
      <w:pPr>
        <w:pStyle w:val="Normal"/>
      </w:pPr>
      <w:r>
        <w:t xml:space="preserve">directories, in an environment with many users, digging for the proper folder can easily become a hassle. The alternative is to create a share for each user, as the next section details. </w:t>
      </w:r>
    </w:p>
    <w:p>
      <w:pPr>
        <w:pStyle w:val="Para 25"/>
      </w:pPr>
      <w:r>
        <w:t/>
      </w:r>
    </w:p>
    <w:p>
      <w:pPr>
        <w:pStyle w:val="Para 09"/>
      </w:pPr>
      <w:r>
        <w:t xml:space="preserve">Individual User Shares </w:t>
      </w:r>
    </w:p>
    <w:p>
      <w:pPr>
        <w:pStyle w:val="Para 25"/>
      </w:pPr>
      <w:r>
        <w:t/>
      </w:r>
    </w:p>
    <w:p>
      <w:pPr>
        <w:pStyle w:val="Normal"/>
      </w:pPr>
      <w:r>
        <w:t xml:space="preserve">To use individual shares for each user, create a folder to hold all user home directories, then </w:t>
      </w:r>
    </w:p>
    <w:p>
      <w:pPr>
        <w:pStyle w:val="Normal"/>
      </w:pPr>
      <w:r>
        <w:t xml:space="preserve">create subdirectories for each user. This step is typically done using the user name as the name of the folder for the corresponding user (for example D:\Homes\bkelly). Share each user folder and </w:t>
      </w:r>
    </w:p>
    <w:p>
      <w:pPr>
        <w:pStyle w:val="Normal"/>
      </w:pPr>
      <w:r>
        <w:t xml:space="preserve">modify the default permissions to remove the Everyone group, then add the user account for </w:t>
      </w:r>
    </w:p>
    <w:p>
      <w:pPr>
        <w:pStyle w:val="Normal"/>
      </w:pPr>
      <w:r>
        <w:t xml:space="preserve">whom the share is being created with Change permissions. Specify this location as the user profile directory in the Active Directory Users and Computers MMC snap-in. </w:t>
      </w:r>
    </w:p>
    <w:p>
      <w:pPr>
        <w:pStyle w:val="Para 25"/>
      </w:pPr>
      <w:r>
        <w:t/>
      </w:r>
    </w:p>
    <w:p>
      <w:pPr>
        <w:pStyle w:val="Para 02"/>
      </w:pPr>
      <w:r>
        <w:t xml:space="preserve">When the creation of a great number of home directories is on your task list, writing a script to do the </w:t>
      </w:r>
    </w:p>
    <w:p>
      <w:pPr>
        <w:pStyle w:val="Para 02"/>
      </w:pPr>
      <w:r>
        <w:t xml:space="preserve">job can be a real time saver. For a simple approach to automating this process, see the Microsoft </w:t>
      </w:r>
    </w:p>
    <w:p>
      <w:pPr>
        <w:pStyle w:val="Para 02"/>
      </w:pPr>
      <w:r>
        <w:t xml:space="preserve">Article “Batch Process to Create and Grant Access to Home Directories.” </w:t>
      </w:r>
    </w:p>
    <w:p>
      <w:pPr>
        <w:pStyle w:val="Para 27"/>
      </w:pPr>
      <w:r>
        <w:t xml:space="preserve"> Don’t want to script it? There are a couple of tools to help you get the job done including AutoShare </w:t>
      </w:r>
    </w:p>
    <w:p>
      <w:pPr>
        <w:pStyle w:val="Para 02"/>
      </w:pPr>
      <w:r>
        <w:t xml:space="preserve">from ScriptLogic (http://scriptlogic.com/eng/Products/Autoshare/main.asp) and UserManagemeNT </w:t>
      </w:r>
    </w:p>
    <w:p>
      <w:pPr>
        <w:pStyle w:val="Para 02"/>
      </w:pPr>
      <w:r>
        <w:t xml:space="preserve">from Advanced Toolware (http://www.advtoolware.com/t4e/general/um_default.htm). </w:t>
      </w:r>
    </w:p>
    <w:p>
      <w:pPr>
        <w:pStyle w:val="Para 25"/>
      </w:pPr>
      <w:r>
        <w:t/>
      </w:r>
    </w:p>
    <w:p>
      <w:pPr>
        <w:pStyle w:val="Para 07"/>
      </w:pPr>
      <w:r>
        <w:t xml:space="preserve">User Profile </w:t>
      </w:r>
    </w:p>
    <w:p>
      <w:pPr>
        <w:pStyle w:val="Normal"/>
      </w:pPr>
      <w:r>
        <w:t xml:space="preserve">Too much data in a roaming profile can result in extended logon and logoff times as well as </w:t>
      </w:r>
    </w:p>
    <w:p>
      <w:pPr>
        <w:pStyle w:val="Normal"/>
      </w:pPr>
      <w:r>
        <w:t xml:space="preserve">increases the likelihood of corruption or impatient users powering off their computers during the copy process. For these reasons, it is best to limit the size of the user profile through </w:t>
      </w:r>
    </w:p>
    <w:p>
      <w:pPr>
        <w:pStyle w:val="Normal"/>
      </w:pPr>
      <w:r>
        <w:t xml:space="preserve">implementation of drive quotas (discussed later in this section). Unless you manage the default </w:t>
      </w:r>
    </w:p>
    <w:p>
      <w:pPr>
        <w:pStyle w:val="Normal"/>
      </w:pPr>
      <w:r>
        <w:t xml:space="preserve">location for the system and its applications, the user profile might well be where data is stored. </w:t>
      </w:r>
    </w:p>
    <w:p>
      <w:pPr>
        <w:pStyle w:val="Normal"/>
      </w:pPr>
      <w:r>
        <w:t xml:space="preserve">Additionally, many novice users do not understand the difference between a shortcut and a folder. As a result, it is not uncommon for a user to copy or move a folder to his or her desktop </w:t>
      </w:r>
    </w:p>
    <w:p>
      <w:pPr>
        <w:pStyle w:val="Normal"/>
      </w:pPr>
      <w:r>
        <w:t xml:space="preserve">for the sake of convenience.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77" name="index-79_1.png" descr="index-79_1.png"/>
            <wp:cNvGraphicFramePr>
              <a:graphicFrameLocks noChangeAspect="1"/>
            </wp:cNvGraphicFramePr>
            <a:graphic>
              <a:graphicData uri="http://schemas.openxmlformats.org/drawingml/2006/picture">
                <pic:pic>
                  <pic:nvPicPr>
                    <pic:cNvPr id="0" name="index-79_1.png" descr="index-79_1.png"/>
                    <pic:cNvPicPr/>
                  </pic:nvPicPr>
                  <pic:blipFill>
                    <a:blip r:embed="rId18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78" name="index-79_2.png" descr="index-79_2.png"/>
            <wp:cNvGraphicFramePr>
              <a:graphicFrameLocks noChangeAspect="1"/>
            </wp:cNvGraphicFramePr>
            <a:graphic>
              <a:graphicData uri="http://schemas.openxmlformats.org/drawingml/2006/picture">
                <pic:pic>
                  <pic:nvPicPr>
                    <pic:cNvPr id="0" name="index-79_2.png" descr="index-79_2.png"/>
                    <pic:cNvPicPr/>
                  </pic:nvPicPr>
                  <pic:blipFill>
                    <a:blip r:embed="rId182"/>
                    <a:stretch>
                      <a:fillRect/>
                    </a:stretch>
                  </pic:blipFill>
                  <pic:spPr>
                    <a:xfrm>
                      <a:off x="0" y="0"/>
                      <a:ext cx="914400" cy="444500"/>
                    </a:xfrm>
                    <a:prstGeom prst="rect">
                      <a:avLst/>
                    </a:prstGeom>
                  </pic:spPr>
                </pic:pic>
              </a:graphicData>
            </a:graphic>
          </wp:anchor>
        </w:drawing>
      </w:r>
    </w:p>
    <w:p>
      <w:pPr>
        <w:pStyle w:val="0 Block"/>
      </w:pPr>
    </w:p>
    <w:p>
      <w:bookmarkStart w:id="84" w:name="Chapter_3_16"/>
      <w:pPr>
        <w:pStyle w:val="Heading 1"/>
        <w:pageBreakBefore w:val="on"/>
      </w:pPr>
      <w:r>
        <w:t>Chapter 3</w:t>
      </w:r>
      <w:bookmarkEnd w:id="84"/>
    </w:p>
    <w:p>
      <w:pPr>
        <w:pStyle w:val="Para 25"/>
      </w:pPr>
      <w:r>
        <w:t/>
      </w:r>
    </w:p>
    <w:p>
      <w:pPr>
        <w:pStyle w:val="Para 07"/>
      </w:pPr>
      <w:r>
        <w:t xml:space="preserve">Local Data Directory </w:t>
      </w:r>
    </w:p>
    <w:p>
      <w:pPr>
        <w:pStyle w:val="Normal"/>
      </w:pPr>
      <w:r>
        <w:t xml:space="preserve">Probably as the result of some past experience or paranoia, many users typically like to have </w:t>
      </w:r>
    </w:p>
    <w:p>
      <w:pPr>
        <w:pStyle w:val="Normal"/>
      </w:pPr>
      <w:r>
        <w:t xml:space="preserve">their data stored on their local systems. Of course, if their machines suffer a drive failure or are </w:t>
      </w:r>
    </w:p>
    <w:p>
      <w:pPr>
        <w:pStyle w:val="Normal"/>
      </w:pPr>
      <w:r>
        <w:t xml:space="preserve">re-imaged, their data could be long gone. In a small environment, network backups of local </w:t>
      </w:r>
    </w:p>
    <w:p>
      <w:pPr>
        <w:pStyle w:val="Normal"/>
      </w:pPr>
      <w:r>
        <w:t xml:space="preserve">systems or scheduled scripts to synchronize the data with a network copy might be a sufficient solution to this problem. For larger networks, it is often policy not to allow users to save locally, </w:t>
      </w:r>
    </w:p>
    <w:p>
      <w:pPr>
        <w:pStyle w:val="Normal"/>
      </w:pPr>
      <w:r>
        <w:t xml:space="preserve">which might be further enforced by restricting write access to the local hard drive. Generally, </w:t>
      </w:r>
    </w:p>
    <w:p>
      <w:pPr>
        <w:pStyle w:val="Normal"/>
      </w:pPr>
      <w:r>
        <w:t xml:space="preserve">allowing users to store data locally increases the risk of loss and might restrict your ability to replace or upgrade systems in the future. </w:t>
      </w:r>
    </w:p>
    <w:p>
      <w:pPr>
        <w:pStyle w:val="Para 25"/>
      </w:pPr>
      <w:r>
        <w:t/>
      </w:r>
    </w:p>
    <w:p>
      <w:pPr>
        <w:pStyle w:val="Para 09"/>
      </w:pPr>
      <w:r>
        <w:t xml:space="preserve">Setting Default Paths </w:t>
      </w:r>
    </w:p>
    <w:p>
      <w:pPr>
        <w:pStyle w:val="Para 25"/>
      </w:pPr>
      <w:r>
        <w:t/>
      </w:r>
    </w:p>
    <w:p>
      <w:pPr>
        <w:pStyle w:val="Normal"/>
      </w:pPr>
      <w:r>
        <w:t xml:space="preserve">One common way to steer users away from storing data in their profiles is to specify desired locations as default for any deployed applications. Although Microsoft products are usually very </w:t>
      </w:r>
    </w:p>
    <w:p>
      <w:pPr>
        <w:pStyle w:val="Normal"/>
      </w:pPr>
      <w:r>
        <w:t xml:space="preserve">good about documenting and providing settings for the location of templates and user data, not </w:t>
      </w:r>
    </w:p>
    <w:p>
      <w:pPr>
        <w:pStyle w:val="Normal"/>
      </w:pPr>
      <w:r>
        <w:t xml:space="preserve">all applications are so friendly. You will need to examine each application used to generate user </w:t>
      </w:r>
    </w:p>
    <w:p>
      <w:pPr>
        <w:pStyle w:val="Normal"/>
      </w:pPr>
      <w:r>
        <w:t xml:space="preserve">data in order to determine how (or if) you can specify the location of user data. As discussed, using the default user profile to configure these settings is often a means of providing a helpful </w:t>
      </w:r>
    </w:p>
    <w:p>
      <w:pPr>
        <w:pStyle w:val="Normal"/>
      </w:pPr>
      <w:r>
        <w:t xml:space="preserve">starting point (this should include the setting of default paths). However, as applications are </w:t>
      </w:r>
    </w:p>
    <w:p>
      <w:pPr>
        <w:pStyle w:val="Normal"/>
      </w:pPr>
      <w:r>
        <w:t xml:space="preserve">added and updated, managing this via the default user profile becomes less and less helpful over time (affecting only new users). You can further specify paths via registry edits using logon </w:t>
      </w:r>
    </w:p>
    <w:p>
      <w:pPr>
        <w:pStyle w:val="Normal"/>
      </w:pPr>
      <w:r>
        <w:t xml:space="preserve">scripts or by using other tools designed to provide similar functionality. Remember, these are </w:t>
      </w:r>
    </w:p>
    <w:p>
      <w:pPr>
        <w:pStyle w:val="Normal"/>
      </w:pPr>
      <w:r>
        <w:t xml:space="preserve">default paths—the users may browse to any location he or she has access to when saving data. Finally, you can use Group Policies and System Policies to enforce settings such as default data </w:t>
      </w:r>
    </w:p>
    <w:p>
      <w:pPr>
        <w:pStyle w:val="Normal"/>
      </w:pPr>
      <w:r>
        <w:t xml:space="preserve">paths. Keep in mind that when setting paths using System Policy or Group Policy, the settings </w:t>
      </w:r>
    </w:p>
    <w:p>
      <w:pPr>
        <w:pStyle w:val="Normal"/>
      </w:pPr>
      <w:r>
        <w:t xml:space="preserve">will be enforced at each logon, and therefore should only be used to </w:t>
      </w:r>
      <w:r>
        <w:rPr>
          <w:rStyle w:val="Text0"/>
        </w:rPr>
        <w:t>enforce</w:t>
      </w:r>
      <w:r>
        <w:t xml:space="preserve"> settings (not to </w:t>
      </w:r>
    </w:p>
    <w:p>
      <w:pPr>
        <w:pStyle w:val="Normal"/>
      </w:pPr>
      <w:r>
        <w:t xml:space="preserve">provide defaults). </w:t>
      </w:r>
    </w:p>
    <w:p>
      <w:pPr>
        <w:pStyle w:val="Para 25"/>
      </w:pPr>
      <w:r>
        <w:t/>
      </w:r>
    </w:p>
    <w:p>
      <w:pPr>
        <w:pStyle w:val="Para 09"/>
      </w:pPr>
      <w:r>
        <w:t xml:space="preserve">Folder Redirection </w:t>
      </w:r>
    </w:p>
    <w:p>
      <w:pPr>
        <w:pStyle w:val="Para 25"/>
      </w:pPr>
      <w:r>
        <w:t/>
      </w:r>
    </w:p>
    <w:p>
      <w:pPr>
        <w:pStyle w:val="Normal"/>
      </w:pPr>
      <w:r>
        <w:t xml:space="preserve">Folder redirection is a term used to describe the process of locating standard profile directories in </w:t>
      </w:r>
    </w:p>
    <w:p>
      <w:pPr>
        <w:pStyle w:val="Normal"/>
      </w:pPr>
      <w:r>
        <w:t xml:space="preserve">alternative locations, typically a network share. Folder redirection can be used to significantly reduce the size of a user’s roaming profile (avoiding long logon times and even corruption of </w:t>
      </w:r>
    </w:p>
    <w:p>
      <w:pPr>
        <w:pStyle w:val="Normal"/>
      </w:pPr>
      <w:r>
        <w:t xml:space="preserve">data. Doing so can also be valuable in that you can trick applications and users by letting them </w:t>
      </w:r>
    </w:p>
    <w:p>
      <w:pPr>
        <w:pStyle w:val="Normal"/>
      </w:pPr>
      <w:r>
        <w:t xml:space="preserve">work as they normally would, while the directories they are familiar with are actually located elsewhere. Group Policy provides the ability to implement folder redirection. You can also </w:t>
      </w:r>
    </w:p>
    <w:p>
      <w:pPr>
        <w:pStyle w:val="Normal"/>
      </w:pPr>
      <w:r>
        <w:t xml:space="preserve">implement similar functionality by manually editing the registry. </w:t>
      </w:r>
    </w:p>
    <w:p>
      <w:pPr>
        <w:pStyle w:val="Para 25"/>
      </w:pPr>
      <w:r>
        <w:t/>
      </w:r>
    </w:p>
    <w:p>
      <w:pPr>
        <w:pStyle w:val="Para 02"/>
      </w:pPr>
      <w:r>
        <w:t xml:space="preserve">Ultimately, all folder redirection will end up being the result of the manipulation of particular registry </w:t>
      </w:r>
    </w:p>
    <w:p>
      <w:pPr>
        <w:pStyle w:val="Para 02"/>
      </w:pPr>
      <w:r>
        <w:t xml:space="preserve">values that inform the system where to find those folders. There are, therefore, several ways to </w:t>
      </w:r>
    </w:p>
    <w:p>
      <w:pPr>
        <w:pStyle w:val="Para 02"/>
      </w:pPr>
      <w:r>
        <w:t xml:space="preserve">achieve this result and manipulate these registry values (for example, manually, automatically via </w:t>
      </w:r>
    </w:p>
    <w:p>
      <w:pPr>
        <w:pStyle w:val="Para 02"/>
      </w:pPr>
      <w:r>
        <w:t xml:space="preserve">Group Policy, or automatically via a third-party solution). In the third-party solution category, utilities </w:t>
      </w:r>
    </w:p>
    <w:p>
      <w:pPr>
        <w:pStyle w:val="Para 02"/>
      </w:pPr>
      <w:r>
        <w:t xml:space="preserve">such as ScriptLogic (http://www.scriptlogic.com) and Enterprise Configuration Manager (ECM) from </w:t>
      </w:r>
    </w:p>
    <w:p>
      <w:pPr>
        <w:pStyle w:val="Para 02"/>
      </w:pPr>
      <w:r>
        <w:t xml:space="preserve">ConfigureSoft (http://www.configuresoft.com) include folder redirection in their arsenal of skills. In the </w:t>
      </w:r>
    </w:p>
    <w:p>
      <w:pPr>
        <w:pStyle w:val="Para 02"/>
      </w:pPr>
      <w:r>
        <w:t xml:space="preserve">freeware/shareware category, tools such as Multi-Remote Registry Change from Eytcheson </w:t>
      </w:r>
    </w:p>
    <w:p>
      <w:pPr>
        <w:pStyle w:val="Para 02"/>
      </w:pPr>
      <w:r>
        <w:t xml:space="preserve">(http://www.eytcheson.com) offer a solution for registry editing en masse (for links to additional </w:t>
      </w:r>
    </w:p>
    <w:p>
      <w:pPr>
        <w:pStyle w:val="Para 02"/>
      </w:pPr>
      <w:r>
        <w:t xml:space="preserve">registry editing tools, visit LabMice.net at http://www.labmice.net/Utilities/registrytools.htm).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79" name="index-80_1.png" descr="index-80_1.png"/>
            <wp:cNvGraphicFramePr>
              <a:graphicFrameLocks noChangeAspect="1"/>
            </wp:cNvGraphicFramePr>
            <a:graphic>
              <a:graphicData uri="http://schemas.openxmlformats.org/drawingml/2006/picture">
                <pic:pic>
                  <pic:nvPicPr>
                    <pic:cNvPr id="0" name="index-80_1.png" descr="index-80_1.png"/>
                    <pic:cNvPicPr/>
                  </pic:nvPicPr>
                  <pic:blipFill>
                    <a:blip r:embed="rId18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80" name="index-80_2.png" descr="index-80_2.png"/>
            <wp:cNvGraphicFramePr>
              <a:graphicFrameLocks noChangeAspect="1"/>
            </wp:cNvGraphicFramePr>
            <a:graphic>
              <a:graphicData uri="http://schemas.openxmlformats.org/drawingml/2006/picture">
                <pic:pic>
                  <pic:nvPicPr>
                    <pic:cNvPr id="0" name="index-80_2.png" descr="index-80_2.png"/>
                    <pic:cNvPicPr/>
                  </pic:nvPicPr>
                  <pic:blipFill>
                    <a:blip r:embed="rId184"/>
                    <a:stretch>
                      <a:fillRect/>
                    </a:stretch>
                  </pic:blipFill>
                  <pic:spPr>
                    <a:xfrm>
                      <a:off x="0" y="0"/>
                      <a:ext cx="914400" cy="444500"/>
                    </a:xfrm>
                    <a:prstGeom prst="rect">
                      <a:avLst/>
                    </a:prstGeom>
                  </pic:spPr>
                </pic:pic>
              </a:graphicData>
            </a:graphic>
          </wp:anchor>
        </w:drawing>
      </w:r>
    </w:p>
    <w:p>
      <w:pPr>
        <w:pStyle w:val="0 Block"/>
      </w:pPr>
    </w:p>
    <w:p>
      <w:bookmarkStart w:id="85" w:name="Chapter_3_17"/>
      <w:pPr>
        <w:pStyle w:val="Heading 1"/>
        <w:pageBreakBefore w:val="on"/>
      </w:pPr>
      <w:r>
        <w:t>Chapter 3</w:t>
      </w:r>
      <w:bookmarkEnd w:id="85"/>
    </w:p>
    <w:p>
      <w:pPr>
        <w:pStyle w:val="Para 25"/>
      </w:pPr>
      <w:r>
        <w:t/>
      </w:r>
    </w:p>
    <w:p>
      <w:pPr>
        <w:pStyle w:val="Normal"/>
      </w:pPr>
      <w:r>
        <w:t xml:space="preserve">For Win2K and later clients in an AD domain, you can utilize Group Policy to specify folders </w:t>
      </w:r>
    </w:p>
    <w:p>
      <w:pPr>
        <w:pStyle w:val="Normal"/>
      </w:pPr>
      <w:r>
        <w:t xml:space="preserve">you want to have redirected. You can specify a single path for all users or common locations </w:t>
      </w:r>
    </w:p>
    <w:p>
      <w:pPr>
        <w:pStyle w:val="Normal"/>
      </w:pPr>
      <w:r>
        <w:t xml:space="preserve">based on group membership. When specifying the same path for multiple users, you can use the %username% environment variable to personalize the path for each user, as Figure 3.9 shows.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97300" cy="2705100"/>
            <wp:effectExtent l="0" r="0" t="0" b="0"/>
            <wp:wrapTopAndBottom/>
            <wp:docPr id="181" name="index-81_1.png" descr="index-81_1.png"/>
            <wp:cNvGraphicFramePr>
              <a:graphicFrameLocks noChangeAspect="1"/>
            </wp:cNvGraphicFramePr>
            <a:graphic>
              <a:graphicData uri="http://schemas.openxmlformats.org/drawingml/2006/picture">
                <pic:pic>
                  <pic:nvPicPr>
                    <pic:cNvPr id="0" name="index-81_1.png" descr="index-81_1.png"/>
                    <pic:cNvPicPr/>
                  </pic:nvPicPr>
                  <pic:blipFill>
                    <a:blip r:embed="rId185"/>
                    <a:stretch>
                      <a:fillRect/>
                    </a:stretch>
                  </pic:blipFill>
                  <pic:spPr>
                    <a:xfrm>
                      <a:off x="0" y="0"/>
                      <a:ext cx="3797300" cy="27051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3.9: Folder redirection properties for the desktop folder in a Group Policy Object (GPO). </w:t>
      </w:r>
    </w:p>
    <w:p>
      <w:pPr>
        <w:pStyle w:val="Para 25"/>
      </w:pPr>
      <w:r>
        <w:t/>
      </w:r>
    </w:p>
    <w:p>
      <w:pPr>
        <w:pStyle w:val="Normal"/>
      </w:pPr>
      <w:r>
        <w:t xml:space="preserve">If you specify a folder that doesn’t exist, the system will create the folder when the user logs onto the network. It is customary to utilize folders in the user home directory for this purpose to </w:t>
      </w:r>
    </w:p>
    <w:p>
      <w:pPr>
        <w:pStyle w:val="Normal"/>
      </w:pPr>
      <w:r>
        <w:t xml:space="preserve">increase the use of this managed location and to avoid storing user data in too many different </w:t>
      </w:r>
    </w:p>
    <w:p>
      <w:pPr>
        <w:pStyle w:val="Normal"/>
      </w:pPr>
      <w:r>
        <w:t xml:space="preserve">locations. </w:t>
      </w:r>
    </w:p>
    <w:p>
      <w:pPr>
        <w:pStyle w:val="Para 25"/>
      </w:pPr>
      <w:r>
        <w:t/>
      </w:r>
    </w:p>
    <w:p>
      <w:pPr>
        <w:pStyle w:val="Normal"/>
      </w:pPr>
      <w:r>
        <w:t xml:space="preserve">With the folder redirected, references made to the folder automatically interact with the redirected folder specified in Group Policy. For example, if the desktop folder is redirected (as in </w:t>
      </w:r>
    </w:p>
    <w:p>
      <w:pPr>
        <w:pStyle w:val="Normal"/>
      </w:pPr>
      <w:r>
        <w:t xml:space="preserve">Figure 3.9), you will be able to see that any shortcuts created on the desktop are actually created </w:t>
      </w:r>
    </w:p>
    <w:p>
      <w:pPr>
        <w:pStyle w:val="Normal"/>
      </w:pPr>
      <w:r>
        <w:t xml:space="preserve">in the redirected folder and not in the local user desktop folder. In fact, the local desktop folder normally found in the user profile will no longer be present. </w:t>
      </w:r>
    </w:p>
    <w:p>
      <w:pPr>
        <w:pStyle w:val="Para 25"/>
      </w:pPr>
      <w:r>
        <w:t/>
      </w:r>
    </w:p>
    <w:p>
      <w:pPr>
        <w:pStyle w:val="Normal"/>
      </w:pPr>
      <w:r>
        <w:t xml:space="preserve">The Start menu is another location that you might want to configure for folder redirection. For </w:t>
      </w:r>
    </w:p>
    <w:p>
      <w:pPr>
        <w:pStyle w:val="Normal"/>
      </w:pPr>
      <w:r>
        <w:t xml:space="preserve">example, you might specify that all Domain Admins have their Start menus redirected to a common location where shortcuts to all administrative utilities are maintained.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82" name="index-81_2.png" descr="index-81_2.png"/>
            <wp:cNvGraphicFramePr>
              <a:graphicFrameLocks noChangeAspect="1"/>
            </wp:cNvGraphicFramePr>
            <a:graphic>
              <a:graphicData uri="http://schemas.openxmlformats.org/drawingml/2006/picture">
                <pic:pic>
                  <pic:nvPicPr>
                    <pic:cNvPr id="0" name="index-81_2.png" descr="index-81_2.png"/>
                    <pic:cNvPicPr/>
                  </pic:nvPicPr>
                  <pic:blipFill>
                    <a:blip r:embed="rId18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83" name="index-81_3.png" descr="index-81_3.png"/>
            <wp:cNvGraphicFramePr>
              <a:graphicFrameLocks noChangeAspect="1"/>
            </wp:cNvGraphicFramePr>
            <a:graphic>
              <a:graphicData uri="http://schemas.openxmlformats.org/drawingml/2006/picture">
                <pic:pic>
                  <pic:nvPicPr>
                    <pic:cNvPr id="0" name="index-81_3.png" descr="index-81_3.png"/>
                    <pic:cNvPicPr/>
                  </pic:nvPicPr>
                  <pic:blipFill>
                    <a:blip r:embed="rId187"/>
                    <a:stretch>
                      <a:fillRect/>
                    </a:stretch>
                  </pic:blipFill>
                  <pic:spPr>
                    <a:xfrm>
                      <a:off x="0" y="0"/>
                      <a:ext cx="914400" cy="444500"/>
                    </a:xfrm>
                    <a:prstGeom prst="rect">
                      <a:avLst/>
                    </a:prstGeom>
                  </pic:spPr>
                </pic:pic>
              </a:graphicData>
            </a:graphic>
          </wp:anchor>
        </w:drawing>
      </w:r>
    </w:p>
    <w:p>
      <w:pPr>
        <w:pStyle w:val="0 Block"/>
      </w:pPr>
    </w:p>
    <w:p>
      <w:bookmarkStart w:id="86" w:name="Chapter_3_18"/>
      <w:pPr>
        <w:pStyle w:val="Heading 1"/>
        <w:pageBreakBefore w:val="on"/>
      </w:pPr>
      <w:r>
        <w:t>Chapter 3</w:t>
      </w:r>
      <w:bookmarkEnd w:id="86"/>
    </w:p>
    <w:p>
      <w:pPr>
        <w:pStyle w:val="Para 25"/>
      </w:pPr>
      <w:r>
        <w:t/>
      </w:r>
    </w:p>
    <w:p>
      <w:pPr>
        <w:pStyle w:val="Para 02"/>
      </w:pPr>
      <w:r>
        <w:t xml:space="preserve">Group Policies can only perform folder redirection on Win2K and Windows XP and later clients. For </w:t>
      </w:r>
    </w:p>
    <w:p>
      <w:pPr>
        <w:pStyle w:val="Para 02"/>
      </w:pPr>
      <w:r>
        <w:t xml:space="preserve">legacy clients such as Windows 9x and Windows ME desktops, you'll have to use a third-party tool or </w:t>
      </w:r>
    </w:p>
    <w:p>
      <w:pPr>
        <w:pStyle w:val="Para 02"/>
      </w:pPr>
      <w:r>
        <w:t xml:space="preserve">manually edit the registry to implement folder redirection. </w:t>
      </w:r>
    </w:p>
    <w:p>
      <w:pPr>
        <w:pStyle w:val="Para 25"/>
      </w:pPr>
      <w:r>
        <w:t/>
      </w:r>
    </w:p>
    <w:p>
      <w:pPr>
        <w:pStyle w:val="Para 09"/>
      </w:pPr>
      <w:r>
        <w:t xml:space="preserve">Folder Redirection via Shell Folders </w:t>
      </w:r>
    </w:p>
    <w:p>
      <w:pPr>
        <w:pStyle w:val="Para 25"/>
      </w:pPr>
      <w:r>
        <w:t/>
      </w:r>
    </w:p>
    <w:p>
      <w:pPr>
        <w:pStyle w:val="Normal"/>
      </w:pPr>
      <w:r>
        <w:t xml:space="preserve">Alternatively, you can implement folder redirection by editing the </w:t>
      </w:r>
      <w:r>
        <w:rPr>
          <w:rStyle w:val="Text0"/>
        </w:rPr>
        <w:t>shell folder</w:t>
      </w:r>
      <w:r>
        <w:t xml:space="preserve"> registry entries. </w:t>
      </w:r>
    </w:p>
    <w:p>
      <w:pPr>
        <w:pStyle w:val="Normal"/>
      </w:pPr>
      <w:r>
        <w:t xml:space="preserve">Even as far back as Windows 95, the location of several special folders (those normally located in the user profile) are identified in the following registry key: </w:t>
      </w:r>
    </w:p>
    <w:p>
      <w:pPr>
        <w:pStyle w:val="Normal"/>
      </w:pPr>
      <w:r>
        <w:t xml:space="preserve">HKEY_LOCAL_MACHINE\SOFTWARE\Microsoft\Windows\CurrentVersion\Explorer\User </w:t>
      </w:r>
    </w:p>
    <w:p>
      <w:pPr>
        <w:pStyle w:val="Normal"/>
      </w:pPr>
      <w:r>
        <w:t xml:space="preserve">Shell Folders. Even in an AD domain, you can use this method to specify redirected folders, as </w:t>
      </w:r>
    </w:p>
    <w:p>
      <w:pPr>
        <w:pStyle w:val="Normal"/>
      </w:pPr>
      <w:r>
        <w:t xml:space="preserve">Figure 3.10 illustrates. </w:t>
      </w:r>
    </w:p>
    <w:p>
      <w:pPr>
        <w:pStyle w:val="Para 25"/>
      </w:pPr>
      <w:r>
        <w:t/>
      </w:r>
    </w:p>
    <w:p>
      <w:pPr>
        <w:pStyle w:val="Para 13"/>
      </w:pPr>
      <w:r>
        <w:t xml:space="preserve"> </w:t>
      </w:r>
    </w:p>
    <w:p>
      <w:pPr>
        <w:pStyle w:val="Para 25"/>
      </w:pPr>
      <w:r>
        <w:t/>
      </w:r>
    </w:p>
    <w:p>
      <w:pPr>
        <w:pStyle w:val="Para 10"/>
      </w:pPr>
      <w:r>
        <w:t xml:space="preserve">Figure 3.10: Redirected folders registry entries set via GPO or by registry edit. </w:t>
      </w:r>
    </w:p>
    <w:p>
      <w:pPr>
        <w:pStyle w:val="Para 25"/>
      </w:pPr>
      <w:r>
        <w:t/>
      </w:r>
    </w:p>
    <w:p>
      <w:pPr>
        <w:pStyle w:val="Normal"/>
      </w:pPr>
      <w:r>
        <w:t xml:space="preserve">In addition to the User Shell Folders key, NT and earlier include a Shell Folders key. You can </w:t>
      </w:r>
    </w:p>
    <w:p>
      <w:pPr>
        <w:pStyle w:val="Normal"/>
      </w:pPr>
      <w:r>
        <w:t xml:space="preserve">find both the User Shell Folders and the Shell Folders key in NT in either the current user or local machine hives of the registry. The order of precedence is as follows: </w:t>
      </w:r>
    </w:p>
    <w:p>
      <w:pPr>
        <w:pStyle w:val="Para 25"/>
      </w:pPr>
      <w:r>
        <w:t/>
      </w:r>
    </w:p>
    <w:p>
      <w:pPr>
        <w:pStyle w:val="Para 04"/>
      </w:pPr>
      <w:r>
        <w:t xml:space="preserve">• </w:t>
        <w:t xml:space="preserve">HKEY_CURRENT_USER\Software\Microsoft\Windows\CurrentVersion\Explorer\User </w:t>
      </w:r>
    </w:p>
    <w:p>
      <w:pPr>
        <w:pStyle w:val="Para 01"/>
      </w:pPr>
      <w:r>
        <w:t xml:space="preserve">Shell Folders </w:t>
      </w:r>
    </w:p>
    <w:p>
      <w:pPr>
        <w:pStyle w:val="Para 25"/>
      </w:pPr>
      <w:r>
        <w:t/>
      </w:r>
    </w:p>
    <w:p>
      <w:pPr>
        <w:pStyle w:val="Para 04"/>
      </w:pPr>
      <w:r>
        <w:t xml:space="preserve">• </w:t>
        <w:t>HKEY_LOCAL_MACHINE\SOFTWARE\Microsoft\Windows\CurrentVersion\Explore</w:t>
      </w:r>
    </w:p>
    <w:p>
      <w:pPr>
        <w:pStyle w:val="Para 01"/>
      </w:pPr>
      <w:r>
        <w:t xml:space="preserve">r\User Shell Folders </w:t>
      </w:r>
    </w:p>
    <w:p>
      <w:pPr>
        <w:pStyle w:val="Para 25"/>
      </w:pPr>
      <w:r>
        <w:t/>
      </w:r>
    </w:p>
    <w:p>
      <w:pPr>
        <w:pStyle w:val="Para 04"/>
      </w:pPr>
      <w:r>
        <w:t xml:space="preserve">• </w:t>
        <w:t xml:space="preserve">HKEY_CURRENT_USER\Software\Microsoft\Windows\CurrentVersion\Explorer\Shell </w:t>
      </w:r>
    </w:p>
    <w:p>
      <w:pPr>
        <w:pStyle w:val="Para 01"/>
      </w:pPr>
      <w:r>
        <w:t xml:space="preserve">Folders *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84" name="index-82_1.png" descr="index-82_1.png"/>
            <wp:cNvGraphicFramePr>
              <a:graphicFrameLocks noChangeAspect="1"/>
            </wp:cNvGraphicFramePr>
            <a:graphic>
              <a:graphicData uri="http://schemas.openxmlformats.org/drawingml/2006/picture">
                <pic:pic>
                  <pic:nvPicPr>
                    <pic:cNvPr id="0" name="index-82_1.png" descr="index-82_1.png"/>
                    <pic:cNvPicPr/>
                  </pic:nvPicPr>
                  <pic:blipFill>
                    <a:blip r:embed="rId18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85" name="index-82_2.png" descr="index-82_2.png"/>
            <wp:cNvGraphicFramePr>
              <a:graphicFrameLocks noChangeAspect="1"/>
            </wp:cNvGraphicFramePr>
            <a:graphic>
              <a:graphicData uri="http://schemas.openxmlformats.org/drawingml/2006/picture">
                <pic:pic>
                  <pic:nvPicPr>
                    <pic:cNvPr id="0" name="index-82_2.png" descr="index-82_2.png"/>
                    <pic:cNvPicPr/>
                  </pic:nvPicPr>
                  <pic:blipFill>
                    <a:blip r:embed="rId189"/>
                    <a:stretch>
                      <a:fillRect/>
                    </a:stretch>
                  </pic:blipFill>
                  <pic:spPr>
                    <a:xfrm>
                      <a:off x="0" y="0"/>
                      <a:ext cx="914400" cy="444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08400" cy="2273300"/>
            <wp:effectExtent l="0" r="0" t="0" b="0"/>
            <wp:wrapTopAndBottom/>
            <wp:docPr id="186" name="index-82_3.png" descr="index-82_3.png"/>
            <wp:cNvGraphicFramePr>
              <a:graphicFrameLocks noChangeAspect="1"/>
            </wp:cNvGraphicFramePr>
            <a:graphic>
              <a:graphicData uri="http://schemas.openxmlformats.org/drawingml/2006/picture">
                <pic:pic>
                  <pic:nvPicPr>
                    <pic:cNvPr id="0" name="index-82_3.png" descr="index-82_3.png"/>
                    <pic:cNvPicPr/>
                  </pic:nvPicPr>
                  <pic:blipFill>
                    <a:blip r:embed="rId190"/>
                    <a:stretch>
                      <a:fillRect/>
                    </a:stretch>
                  </pic:blipFill>
                  <pic:spPr>
                    <a:xfrm>
                      <a:off x="0" y="0"/>
                      <a:ext cx="3708400" cy="2273300"/>
                    </a:xfrm>
                    <a:prstGeom prst="rect">
                      <a:avLst/>
                    </a:prstGeom>
                  </pic:spPr>
                </pic:pic>
              </a:graphicData>
            </a:graphic>
          </wp:anchor>
        </w:drawing>
      </w:r>
    </w:p>
    <w:p>
      <w:pPr>
        <w:pStyle w:val="0 Block"/>
      </w:pPr>
    </w:p>
    <w:p>
      <w:bookmarkStart w:id="87" w:name="Chapter_3_19"/>
      <w:pPr>
        <w:pStyle w:val="Heading 1"/>
        <w:pageBreakBefore w:val="on"/>
      </w:pPr>
      <w:r>
        <w:t>Chapter 3</w:t>
      </w:r>
      <w:bookmarkEnd w:id="87"/>
    </w:p>
    <w:p>
      <w:pPr>
        <w:pStyle w:val="Para 25"/>
      </w:pPr>
      <w:r>
        <w:t/>
      </w:r>
    </w:p>
    <w:p>
      <w:pPr>
        <w:pStyle w:val="Para 04"/>
      </w:pPr>
      <w:r>
        <w:t xml:space="preserve">• </w:t>
        <w:t>HKEY_LOCAL_MACHINE\SOFTWARE\Microsoft\Windows\CurrentVersion\Explore</w:t>
      </w:r>
    </w:p>
    <w:p>
      <w:pPr>
        <w:pStyle w:val="Para 01"/>
      </w:pPr>
      <w:r>
        <w:t xml:space="preserve">r\Shell Folders * </w:t>
      </w:r>
    </w:p>
    <w:p>
      <w:pPr>
        <w:pStyle w:val="Para 25"/>
      </w:pPr>
      <w:r>
        <w:t/>
      </w:r>
    </w:p>
    <w:p>
      <w:pPr>
        <w:pStyle w:val="Normal"/>
      </w:pPr>
      <w:r>
        <w:t xml:space="preserve">* These keys are NOT used in Win2K and later. </w:t>
      </w:r>
    </w:p>
    <w:p>
      <w:pPr>
        <w:pStyle w:val="Para 25"/>
      </w:pPr>
      <w:r>
        <w:t/>
      </w:r>
    </w:p>
    <w:p>
      <w:pPr>
        <w:pStyle w:val="Normal"/>
      </w:pPr>
      <w:r>
        <w:t xml:space="preserve">This method of modifying the registry to achieve folder redirection works similarly to that of Group Policy but it is not quite as robust. Whereas Group Policy allows you to move the contents </w:t>
      </w:r>
    </w:p>
    <w:p>
      <w:pPr>
        <w:pStyle w:val="Normal"/>
      </w:pPr>
      <w:r>
        <w:t xml:space="preserve">to the redirected location, manipulating the paths in the registry simply points the user to a </w:t>
      </w:r>
    </w:p>
    <w:p>
      <w:pPr>
        <w:pStyle w:val="Normal"/>
      </w:pPr>
      <w:r>
        <w:t xml:space="preserve">second, new copy of the folder. You will need to move the contents yourself or the result might be duplicate entries (see Figure 3.11). In the following figure, the user’s Programs folder location </w:t>
      </w:r>
    </w:p>
    <w:p>
      <w:pPr>
        <w:pStyle w:val="Normal"/>
      </w:pPr>
      <w:r>
        <w:t xml:space="preserve">was modified in the registry, but the original still exists, resulting in two Programs folders.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81200" cy="1905000"/>
            <wp:effectExtent l="0" r="0" t="0" b="0"/>
            <wp:wrapTopAndBottom/>
            <wp:docPr id="187" name="index-83_1.png" descr="index-83_1.png"/>
            <wp:cNvGraphicFramePr>
              <a:graphicFrameLocks noChangeAspect="1"/>
            </wp:cNvGraphicFramePr>
            <a:graphic>
              <a:graphicData uri="http://schemas.openxmlformats.org/drawingml/2006/picture">
                <pic:pic>
                  <pic:nvPicPr>
                    <pic:cNvPr id="0" name="index-83_1.png" descr="index-83_1.png"/>
                    <pic:cNvPicPr/>
                  </pic:nvPicPr>
                  <pic:blipFill>
                    <a:blip r:embed="rId191"/>
                    <a:stretch>
                      <a:fillRect/>
                    </a:stretch>
                  </pic:blipFill>
                  <pic:spPr>
                    <a:xfrm>
                      <a:off x="0" y="0"/>
                      <a:ext cx="1981200" cy="1905000"/>
                    </a:xfrm>
                    <a:prstGeom prst="rect">
                      <a:avLst/>
                    </a:prstGeom>
                  </pic:spPr>
                </pic:pic>
              </a:graphicData>
            </a:graphic>
          </wp:anchor>
        </w:drawing>
      </w:r>
    </w:p>
    <w:p>
      <w:pPr>
        <w:pStyle w:val="Para 25"/>
      </w:pPr>
      <w:r>
        <w:t/>
      </w:r>
    </w:p>
    <w:p>
      <w:pPr>
        <w:pStyle w:val="Para 26"/>
      </w:pPr>
      <w:r>
        <w:t xml:space="preserve"> </w:t>
      </w:r>
    </w:p>
    <w:p>
      <w:pPr>
        <w:pStyle w:val="Para 25"/>
      </w:pPr>
      <w:r>
        <w:t/>
      </w:r>
    </w:p>
    <w:p>
      <w:pPr>
        <w:pStyle w:val="Para 10"/>
      </w:pPr>
      <w:r>
        <w:t xml:space="preserve">Figure 3.11: A redirected programs folder in NT results in two Programs folders. </w:t>
      </w:r>
    </w:p>
    <w:p>
      <w:pPr>
        <w:pStyle w:val="Para 25"/>
      </w:pPr>
      <w:r>
        <w:t/>
      </w:r>
    </w:p>
    <w:p>
      <w:pPr>
        <w:pStyle w:val="Normal"/>
      </w:pPr>
      <w:r>
        <w:t xml:space="preserve">If the original location is left, keep in mind that it is in no way linked to the redirected copy. Users might still navigate to the folder locally and any modifications will not be reflected in the </w:t>
      </w:r>
    </w:p>
    <w:p>
      <w:pPr>
        <w:pStyle w:val="Normal"/>
      </w:pPr>
      <w:r>
        <w:t xml:space="preserve">redirected location. </w:t>
      </w:r>
    </w:p>
    <w:p>
      <w:pPr>
        <w:pStyle w:val="Para 25"/>
      </w:pPr>
      <w:r>
        <w:t/>
      </w:r>
    </w:p>
    <w:p>
      <w:pPr>
        <w:pStyle w:val="Para 02"/>
      </w:pPr>
      <w:r>
        <w:t xml:space="preserve">Like folder redirection via Group Policy, if a path is specified that does not exist, it is created when the </w:t>
      </w:r>
    </w:p>
    <w:p>
      <w:pPr>
        <w:pStyle w:val="Para 02"/>
      </w:pPr>
      <w:r>
        <w:t xml:space="preserve">user logs on. </w:t>
      </w:r>
    </w:p>
    <w:p>
      <w:pPr>
        <w:pStyle w:val="Para 25"/>
      </w:pPr>
      <w:r>
        <w:t/>
      </w:r>
    </w:p>
    <w:p>
      <w:pPr>
        <w:pStyle w:val="Para 07"/>
      </w:pPr>
      <w:r>
        <w:t xml:space="preserve">User Profile Quotas </w:t>
      </w:r>
    </w:p>
    <w:p>
      <w:pPr>
        <w:pStyle w:val="Normal"/>
      </w:pPr>
      <w:r>
        <w:t xml:space="preserve">With the release of Win2K, built-in support for drive space quotas is now available. NT offers </w:t>
      </w:r>
    </w:p>
    <w:p>
      <w:pPr>
        <w:pStyle w:val="Normal"/>
      </w:pPr>
      <w:r>
        <w:t xml:space="preserve">support for quotas via the ProQuota.exe utility (provided in SP4). You can prevent users from having roaming profiles that take up too much disk space or, more important, that are too large to </w:t>
      </w:r>
    </w:p>
    <w:p>
      <w:pPr>
        <w:pStyle w:val="Normal"/>
      </w:pPr>
      <w:r>
        <w:t xml:space="preserve">be copied up and down from the network. When users’ profiles exceed the limit defined in </w:t>
      </w:r>
    </w:p>
    <w:p>
      <w:pPr>
        <w:pStyle w:val="Normal"/>
      </w:pPr>
      <w:r>
        <w:t xml:space="preserve">Group Policy (using the Limit Profile Size policy, as Figure 3.12 shows), they are presented with a message instructing them to reduce the size of their profile. Further, they are prevented from </w:t>
      </w:r>
    </w:p>
    <w:p>
      <w:pPr>
        <w:pStyle w:val="Normal"/>
      </w:pPr>
      <w:r>
        <w:t xml:space="preserve">logging off until the profile has been reduced to a size less than that of the defined maximum </w:t>
      </w:r>
    </w:p>
    <w:p>
      <w:pPr>
        <w:pStyle w:val="Normal"/>
      </w:pPr>
      <w:r>
        <w:t xml:space="preserve">size.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88" name="index-83_2.png" descr="index-83_2.png"/>
            <wp:cNvGraphicFramePr>
              <a:graphicFrameLocks noChangeAspect="1"/>
            </wp:cNvGraphicFramePr>
            <a:graphic>
              <a:graphicData uri="http://schemas.openxmlformats.org/drawingml/2006/picture">
                <pic:pic>
                  <pic:nvPicPr>
                    <pic:cNvPr id="0" name="index-83_2.png" descr="index-83_2.png"/>
                    <pic:cNvPicPr/>
                  </pic:nvPicPr>
                  <pic:blipFill>
                    <a:blip r:embed="rId19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89" name="index-83_3.png" descr="index-83_3.png"/>
            <wp:cNvGraphicFramePr>
              <a:graphicFrameLocks noChangeAspect="1"/>
            </wp:cNvGraphicFramePr>
            <a:graphic>
              <a:graphicData uri="http://schemas.openxmlformats.org/drawingml/2006/picture">
                <pic:pic>
                  <pic:nvPicPr>
                    <pic:cNvPr id="0" name="index-83_3.png" descr="index-83_3.png"/>
                    <pic:cNvPicPr/>
                  </pic:nvPicPr>
                  <pic:blipFill>
                    <a:blip r:embed="rId193"/>
                    <a:stretch>
                      <a:fillRect/>
                    </a:stretch>
                  </pic:blipFill>
                  <pic:spPr>
                    <a:xfrm>
                      <a:off x="0" y="0"/>
                      <a:ext cx="914400" cy="444500"/>
                    </a:xfrm>
                    <a:prstGeom prst="rect">
                      <a:avLst/>
                    </a:prstGeom>
                  </pic:spPr>
                </pic:pic>
              </a:graphicData>
            </a:graphic>
          </wp:anchor>
        </w:drawing>
      </w:r>
    </w:p>
    <w:p>
      <w:pPr>
        <w:pStyle w:val="0 Block"/>
      </w:pPr>
    </w:p>
    <w:p>
      <w:bookmarkStart w:id="88" w:name="Chapter_3_20"/>
      <w:pPr>
        <w:pStyle w:val="Heading 1"/>
        <w:pageBreakBefore w:val="on"/>
      </w:pPr>
      <w:r>
        <w:t>Chapter 3</w:t>
      </w:r>
      <w:bookmarkEnd w:id="8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63800" cy="2730500"/>
            <wp:effectExtent l="0" r="0" t="0" b="0"/>
            <wp:wrapTopAndBottom/>
            <wp:docPr id="190" name="index-84_1.png" descr="index-84_1.png"/>
            <wp:cNvGraphicFramePr>
              <a:graphicFrameLocks noChangeAspect="1"/>
            </wp:cNvGraphicFramePr>
            <a:graphic>
              <a:graphicData uri="http://schemas.openxmlformats.org/drawingml/2006/picture">
                <pic:pic>
                  <pic:nvPicPr>
                    <pic:cNvPr id="0" name="index-84_1.png" descr="index-84_1.png"/>
                    <pic:cNvPicPr/>
                  </pic:nvPicPr>
                  <pic:blipFill>
                    <a:blip r:embed="rId194"/>
                    <a:stretch>
                      <a:fillRect/>
                    </a:stretch>
                  </pic:blipFill>
                  <pic:spPr>
                    <a:xfrm>
                      <a:off x="0" y="0"/>
                      <a:ext cx="2463800" cy="2730500"/>
                    </a:xfrm>
                    <a:prstGeom prst="rect">
                      <a:avLst/>
                    </a:prstGeom>
                  </pic:spPr>
                </pic:pic>
              </a:graphicData>
            </a:graphic>
          </wp:anchor>
        </w:drawing>
      </w:r>
    </w:p>
    <w:p>
      <w:pPr>
        <w:pStyle w:val="Para 25"/>
      </w:pPr>
      <w:r>
        <w:t/>
      </w:r>
    </w:p>
    <w:p>
      <w:pPr>
        <w:pStyle w:val="Para 24"/>
      </w:pPr>
      <w:r>
        <w:t xml:space="preserve"> </w:t>
      </w:r>
    </w:p>
    <w:p>
      <w:pPr>
        <w:pStyle w:val="Para 25"/>
      </w:pPr>
      <w:r>
        <w:t/>
      </w:r>
    </w:p>
    <w:p>
      <w:pPr>
        <w:pStyle w:val="Para 10"/>
      </w:pPr>
      <w:r>
        <w:t xml:space="preserve">Figure 3.12: Win2K Limit Profile Size Policy. </w:t>
      </w:r>
    </w:p>
    <w:p>
      <w:pPr>
        <w:pStyle w:val="Para 25"/>
      </w:pPr>
      <w:r>
        <w:t/>
      </w:r>
    </w:p>
    <w:p>
      <w:pPr>
        <w:pStyle w:val="Normal"/>
      </w:pPr>
      <w:r>
        <w:t xml:space="preserve">With profile quotas in use, an icon is displayed that will show the available profile space when </w:t>
      </w:r>
    </w:p>
    <w:p>
      <w:pPr>
        <w:pStyle w:val="Normal"/>
      </w:pPr>
      <w:r>
        <w:t xml:space="preserve">the cursor is placed over it, as Figure 3.13 shows.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46200" cy="381000"/>
            <wp:effectExtent l="0" r="0" t="0" b="0"/>
            <wp:wrapTopAndBottom/>
            <wp:docPr id="191" name="index-84_2.png" descr="index-84_2.png"/>
            <wp:cNvGraphicFramePr>
              <a:graphicFrameLocks noChangeAspect="1"/>
            </wp:cNvGraphicFramePr>
            <a:graphic>
              <a:graphicData uri="http://schemas.openxmlformats.org/drawingml/2006/picture">
                <pic:pic>
                  <pic:nvPicPr>
                    <pic:cNvPr id="0" name="index-84_2.png" descr="index-84_2.png"/>
                    <pic:cNvPicPr/>
                  </pic:nvPicPr>
                  <pic:blipFill>
                    <a:blip r:embed="rId195"/>
                    <a:stretch>
                      <a:fillRect/>
                    </a:stretch>
                  </pic:blipFill>
                  <pic:spPr>
                    <a:xfrm>
                      <a:off x="0" y="0"/>
                      <a:ext cx="1346200" cy="381000"/>
                    </a:xfrm>
                    <a:prstGeom prst="rect">
                      <a:avLst/>
                    </a:prstGeom>
                  </pic:spPr>
                </pic:pic>
              </a:graphicData>
            </a:graphic>
          </wp:anchor>
        </w:drawing>
      </w:r>
    </w:p>
    <w:p>
      <w:pPr>
        <w:pStyle w:val="Para 25"/>
      </w:pPr>
      <w:r>
        <w:t/>
      </w:r>
    </w:p>
    <w:p>
      <w:pPr>
        <w:pStyle w:val="Para 43"/>
      </w:pPr>
      <w:r>
        <w:t xml:space="preserve"> </w:t>
      </w:r>
    </w:p>
    <w:p>
      <w:pPr>
        <w:pStyle w:val="Para 25"/>
      </w:pPr>
      <w:r>
        <w:t/>
      </w:r>
    </w:p>
    <w:p>
      <w:pPr>
        <w:pStyle w:val="Para 10"/>
      </w:pPr>
      <w:r>
        <w:t xml:space="preserve">Figure 3.13: The Profile Quota icon. </w:t>
      </w:r>
    </w:p>
    <w:p>
      <w:pPr>
        <w:pStyle w:val="Para 25"/>
      </w:pPr>
      <w:r>
        <w:t/>
      </w:r>
    </w:p>
    <w:p>
      <w:pPr>
        <w:pStyle w:val="Normal"/>
      </w:pPr>
      <w:r>
        <w:t xml:space="preserve">To configure NT drive quotas, NT SP4 includes ProQuota.exe, which you can use with System </w:t>
      </w:r>
    </w:p>
    <w:p>
      <w:pPr>
        <w:pStyle w:val="Normal"/>
      </w:pPr>
      <w:r>
        <w:t xml:space="preserve">Policies to enforce profile quotas. To configure profile quotas, perform the following set of tasks: </w:t>
      </w:r>
    </w:p>
    <w:p>
      <w:pPr>
        <w:pStyle w:val="Para 25"/>
      </w:pPr>
      <w:r>
        <w:t/>
      </w:r>
    </w:p>
    <w:p>
      <w:pPr>
        <w:pStyle w:val="Para 04"/>
      </w:pPr>
      <w:r>
        <w:rPr>
          <w:rStyle w:val="Text1"/>
        </w:rPr>
        <w:t xml:space="preserve">28. </w:t>
      </w:r>
      <w:r>
        <w:t xml:space="preserve">Ensure clients have the ProQuota.exe file installed. If not present, you can manually copy </w:t>
      </w:r>
    </w:p>
    <w:p>
      <w:pPr>
        <w:pStyle w:val="Para 01"/>
      </w:pPr>
      <w:r>
        <w:t xml:space="preserve">it to the %systemroot%\system32 directory. </w:t>
      </w:r>
    </w:p>
    <w:p>
      <w:pPr>
        <w:pStyle w:val="Para 25"/>
      </w:pPr>
      <w:r>
        <w:t/>
      </w:r>
    </w:p>
    <w:p>
      <w:pPr>
        <w:pStyle w:val="Para 04"/>
      </w:pPr>
      <w:r>
        <w:rPr>
          <w:rStyle w:val="Text1"/>
        </w:rPr>
        <w:t xml:space="preserve">29. </w:t>
      </w:r>
      <w:r>
        <w:t xml:space="preserve">Start the System Policy Editor (%windir%\PolEdit.exe). </w:t>
      </w:r>
    </w:p>
    <w:p>
      <w:pPr>
        <w:pStyle w:val="Para 25"/>
      </w:pPr>
      <w:r>
        <w:t/>
      </w:r>
    </w:p>
    <w:p>
      <w:pPr>
        <w:pStyle w:val="Para 04"/>
      </w:pPr>
      <w:r>
        <w:rPr>
          <w:rStyle w:val="Text1"/>
        </w:rPr>
        <w:t xml:space="preserve">30. </w:t>
      </w:r>
      <w:r>
        <w:t xml:space="preserve">Select Policy Template from the Options menu, and from the %SystemRoot%\inf </w:t>
      </w:r>
    </w:p>
    <w:p>
      <w:pPr>
        <w:pStyle w:val="Para 01"/>
      </w:pPr>
      <w:r>
        <w:t xml:space="preserve">directory, load the templates Common.adm and Winnt.adm. </w:t>
      </w:r>
    </w:p>
    <w:p>
      <w:pPr>
        <w:pStyle w:val="Para 25"/>
      </w:pPr>
      <w:r>
        <w:t/>
      </w:r>
    </w:p>
    <w:p>
      <w:pPr>
        <w:pStyle w:val="Para 04"/>
      </w:pPr>
      <w:r>
        <w:rPr>
          <w:rStyle w:val="Text1"/>
        </w:rPr>
        <w:t xml:space="preserve">31. </w:t>
      </w:r>
      <w:r>
        <w:t xml:space="preserve">Open Default User, and expand Windows NT User Profiles. </w:t>
      </w:r>
    </w:p>
    <w:p>
      <w:pPr>
        <w:pStyle w:val="Para 25"/>
      </w:pPr>
      <w:r>
        <w:t/>
      </w:r>
    </w:p>
    <w:p>
      <w:pPr>
        <w:pStyle w:val="Para 04"/>
      </w:pPr>
      <w:r>
        <w:rPr>
          <w:rStyle w:val="Text1"/>
        </w:rPr>
        <w:t xml:space="preserve">32. </w:t>
      </w:r>
      <w:r>
        <w:t xml:space="preserve">Select Limit Profile Size (see Figure 3.14), and specify the following values: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92" name="index-84_3.png" descr="index-84_3.png"/>
            <wp:cNvGraphicFramePr>
              <a:graphicFrameLocks noChangeAspect="1"/>
            </wp:cNvGraphicFramePr>
            <a:graphic>
              <a:graphicData uri="http://schemas.openxmlformats.org/drawingml/2006/picture">
                <pic:pic>
                  <pic:nvPicPr>
                    <pic:cNvPr id="0" name="index-84_3.png" descr="index-84_3.png"/>
                    <pic:cNvPicPr/>
                  </pic:nvPicPr>
                  <pic:blipFill>
                    <a:blip r:embed="rId19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93" name="index-84_4.png" descr="index-84_4.png"/>
            <wp:cNvGraphicFramePr>
              <a:graphicFrameLocks noChangeAspect="1"/>
            </wp:cNvGraphicFramePr>
            <a:graphic>
              <a:graphicData uri="http://schemas.openxmlformats.org/drawingml/2006/picture">
                <pic:pic>
                  <pic:nvPicPr>
                    <pic:cNvPr id="0" name="index-84_4.png" descr="index-84_4.png"/>
                    <pic:cNvPicPr/>
                  </pic:nvPicPr>
                  <pic:blipFill>
                    <a:blip r:embed="rId197"/>
                    <a:stretch>
                      <a:fillRect/>
                    </a:stretch>
                  </pic:blipFill>
                  <pic:spPr>
                    <a:xfrm>
                      <a:off x="0" y="0"/>
                      <a:ext cx="914400" cy="444500"/>
                    </a:xfrm>
                    <a:prstGeom prst="rect">
                      <a:avLst/>
                    </a:prstGeom>
                  </pic:spPr>
                </pic:pic>
              </a:graphicData>
            </a:graphic>
          </wp:anchor>
        </w:drawing>
      </w:r>
    </w:p>
    <w:p>
      <w:pPr>
        <w:pStyle w:val="0 Block"/>
      </w:pPr>
    </w:p>
    <w:p>
      <w:bookmarkStart w:id="89" w:name="Chapter_3_21"/>
      <w:pPr>
        <w:pStyle w:val="Heading 1"/>
        <w:pageBreakBefore w:val="on"/>
      </w:pPr>
      <w:r>
        <w:t>Chapter 3</w:t>
      </w:r>
      <w:bookmarkEnd w:id="89"/>
    </w:p>
    <w:p>
      <w:pPr>
        <w:pStyle w:val="Para 25"/>
      </w:pPr>
      <w:r>
        <w:t/>
      </w:r>
    </w:p>
    <w:p>
      <w:pPr>
        <w:pStyle w:val="Para 08"/>
      </w:pPr>
      <w:r>
        <w:t xml:space="preserve">• </w:t>
        <w:t xml:space="preserve">Custom Message—This text will be presented to users when their profile </w:t>
      </w:r>
    </w:p>
    <w:p>
      <w:pPr>
        <w:pStyle w:val="Para 22"/>
      </w:pPr>
      <w:r>
        <w:t xml:space="preserve">size is exceeded. </w:t>
      </w:r>
    </w:p>
    <w:p>
      <w:pPr>
        <w:pStyle w:val="Para 25"/>
      </w:pPr>
      <w:r>
        <w:t/>
      </w:r>
    </w:p>
    <w:p>
      <w:pPr>
        <w:pStyle w:val="Para 20"/>
      </w:pPr>
      <w:r>
        <w:t xml:space="preserve">• Max Profile Size—This field specifies the maximum size of a user’s </w:t>
      </w:r>
    </w:p>
    <w:p>
      <w:pPr>
        <w:pStyle w:val="Para 22"/>
      </w:pPr>
      <w:r>
        <w:t xml:space="preserve">profile in kilobytes (the default value is 30,000Kb). </w:t>
      </w:r>
    </w:p>
    <w:p>
      <w:pPr>
        <w:pStyle w:val="Para 25"/>
      </w:pPr>
      <w:r>
        <w:t/>
      </w:r>
    </w:p>
    <w:p>
      <w:pPr>
        <w:pStyle w:val="Para 20"/>
      </w:pPr>
      <w:r>
        <w:t xml:space="preserve">• Include Registry In File List—This check box specifies whether the </w:t>
      </w:r>
    </w:p>
    <w:p>
      <w:pPr>
        <w:pStyle w:val="Para 22"/>
      </w:pPr>
      <w:r>
        <w:t xml:space="preserve">Ntuser.dat file is to be presented to users in the list of user profile files that are currently in use (to help them determine which files can be removed from </w:t>
      </w:r>
    </w:p>
    <w:p>
      <w:pPr>
        <w:pStyle w:val="Para 22"/>
      </w:pPr>
      <w:r>
        <w:t xml:space="preserve">their profile). Obviously, you do not want a user removing Ntuser.dat, and </w:t>
      </w:r>
    </w:p>
    <w:p>
      <w:pPr>
        <w:pStyle w:val="Para 22"/>
      </w:pPr>
      <w:r>
        <w:t xml:space="preserve">whether you select the option to include it in the list or not, it cannot be deleted. </w:t>
      </w:r>
    </w:p>
    <w:p>
      <w:pPr>
        <w:pStyle w:val="Para 25"/>
      </w:pPr>
      <w:r>
        <w:t/>
      </w:r>
    </w:p>
    <w:p>
      <w:pPr>
        <w:pStyle w:val="Para 20"/>
      </w:pPr>
      <w:r>
        <w:t xml:space="preserve">• </w:t>
        <w:t xml:space="preserve">Notify User When Profile Storage Space Is Exceeded—When this check </w:t>
      </w:r>
    </w:p>
    <w:p>
      <w:pPr>
        <w:pStyle w:val="Para 22"/>
      </w:pPr>
      <w:r>
        <w:t xml:space="preserve">box is selected, users will be presented with a warning message as soon as </w:t>
      </w:r>
    </w:p>
    <w:p>
      <w:pPr>
        <w:pStyle w:val="Para 22"/>
      </w:pPr>
      <w:r>
        <w:t xml:space="preserve">their profiles reach the quota size. By default, the message is only presented to users when they try to log off of the computer. </w:t>
      </w:r>
    </w:p>
    <w:p>
      <w:pPr>
        <w:pStyle w:val="Para 25"/>
      </w:pPr>
      <w:r>
        <w:t/>
      </w:r>
    </w:p>
    <w:p>
      <w:pPr>
        <w:pStyle w:val="Para 04"/>
      </w:pPr>
      <w:r>
        <w:rPr>
          <w:rStyle w:val="Text1"/>
        </w:rPr>
        <w:t xml:space="preserve">33. </w:t>
      </w:r>
      <w:r>
        <w:t xml:space="preserve">Save the policy as Ntconfig.pol, and store it in the Netlogon share (replication export </w:t>
      </w:r>
    </w:p>
    <w:p>
      <w:pPr>
        <w:pStyle w:val="Para 01"/>
      </w:pPr>
      <w:r>
        <w:t xml:space="preserve">directory on the Primary Domain Controller—PDC—for example, </w:t>
      </w:r>
    </w:p>
    <w:p>
      <w:pPr>
        <w:pStyle w:val="Para 01"/>
      </w:pPr>
      <w:r>
        <w:t xml:space="preserve">C:\WINNT\system32\Repl\Export).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2717800"/>
            <wp:effectExtent l="0" r="0" t="0" b="0"/>
            <wp:wrapTopAndBottom/>
            <wp:docPr id="194" name="index-85_1.png" descr="index-85_1.png"/>
            <wp:cNvGraphicFramePr>
              <a:graphicFrameLocks noChangeAspect="1"/>
            </wp:cNvGraphicFramePr>
            <a:graphic>
              <a:graphicData uri="http://schemas.openxmlformats.org/drawingml/2006/picture">
                <pic:pic>
                  <pic:nvPicPr>
                    <pic:cNvPr id="0" name="index-85_1.png" descr="index-85_1.png"/>
                    <pic:cNvPicPr/>
                  </pic:nvPicPr>
                  <pic:blipFill>
                    <a:blip r:embed="rId198"/>
                    <a:stretch>
                      <a:fillRect/>
                    </a:stretch>
                  </pic:blipFill>
                  <pic:spPr>
                    <a:xfrm>
                      <a:off x="0" y="0"/>
                      <a:ext cx="2349500" cy="2717800"/>
                    </a:xfrm>
                    <a:prstGeom prst="rect">
                      <a:avLst/>
                    </a:prstGeom>
                  </pic:spPr>
                </pic:pic>
              </a:graphicData>
            </a:graphic>
          </wp:anchor>
        </w:drawing>
      </w:r>
    </w:p>
    <w:p>
      <w:pPr>
        <w:pStyle w:val="Para 25"/>
      </w:pPr>
      <w:r>
        <w:t/>
      </w:r>
    </w:p>
    <w:p>
      <w:pPr>
        <w:pStyle w:val="Para 24"/>
      </w:pPr>
      <w:r>
        <w:t xml:space="preserve"> </w:t>
      </w:r>
    </w:p>
    <w:p>
      <w:pPr>
        <w:pStyle w:val="Para 25"/>
      </w:pPr>
      <w:r>
        <w:t/>
      </w:r>
    </w:p>
    <w:p>
      <w:pPr>
        <w:pStyle w:val="Para 10"/>
      </w:pPr>
      <w:r>
        <w:t xml:space="preserve">Figure 3.14: The Limit Profile Size policy.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95" name="index-85_2.png" descr="index-85_2.png"/>
            <wp:cNvGraphicFramePr>
              <a:graphicFrameLocks noChangeAspect="1"/>
            </wp:cNvGraphicFramePr>
            <a:graphic>
              <a:graphicData uri="http://schemas.openxmlformats.org/drawingml/2006/picture">
                <pic:pic>
                  <pic:nvPicPr>
                    <pic:cNvPr id="0" name="index-85_2.png" descr="index-85_2.png"/>
                    <pic:cNvPicPr/>
                  </pic:nvPicPr>
                  <pic:blipFill>
                    <a:blip r:embed="rId19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96" name="index-85_3.png" descr="index-85_3.png"/>
            <wp:cNvGraphicFramePr>
              <a:graphicFrameLocks noChangeAspect="1"/>
            </wp:cNvGraphicFramePr>
            <a:graphic>
              <a:graphicData uri="http://schemas.openxmlformats.org/drawingml/2006/picture">
                <pic:pic>
                  <pic:nvPicPr>
                    <pic:cNvPr id="0" name="index-85_3.png" descr="index-85_3.png"/>
                    <pic:cNvPicPr/>
                  </pic:nvPicPr>
                  <pic:blipFill>
                    <a:blip r:embed="rId200"/>
                    <a:stretch>
                      <a:fillRect/>
                    </a:stretch>
                  </pic:blipFill>
                  <pic:spPr>
                    <a:xfrm>
                      <a:off x="0" y="0"/>
                      <a:ext cx="914400" cy="444500"/>
                    </a:xfrm>
                    <a:prstGeom prst="rect">
                      <a:avLst/>
                    </a:prstGeom>
                  </pic:spPr>
                </pic:pic>
              </a:graphicData>
            </a:graphic>
          </wp:anchor>
        </w:drawing>
      </w:r>
    </w:p>
    <w:p>
      <w:pPr>
        <w:pStyle w:val="0 Block"/>
      </w:pPr>
    </w:p>
    <w:p>
      <w:bookmarkStart w:id="90" w:name="Chapter_3_22"/>
      <w:pPr>
        <w:pStyle w:val="Heading 1"/>
        <w:pageBreakBefore w:val="on"/>
      </w:pPr>
      <w:r>
        <w:t>Chapter 3</w:t>
      </w:r>
      <w:bookmarkEnd w:id="90"/>
    </w:p>
    <w:p>
      <w:pPr>
        <w:pStyle w:val="Para 25"/>
      </w:pPr>
      <w:r>
        <w:t/>
      </w:r>
    </w:p>
    <w:p>
      <w:pPr>
        <w:pStyle w:val="Para 02"/>
      </w:pPr>
      <w:r>
        <w:t xml:space="preserve">Users will not be able to log off if the user profile quota is exceeded. By default, small files (less than </w:t>
      </w:r>
    </w:p>
    <w:p>
      <w:pPr>
        <w:pStyle w:val="Para 02"/>
      </w:pPr>
      <w:r>
        <w:t xml:space="preserve">2Kb in size) are not listed in the dialog box that displays the files contained in the profile. If IE is </w:t>
      </w:r>
    </w:p>
    <w:p>
      <w:pPr>
        <w:pStyle w:val="Para 02"/>
      </w:pPr>
      <w:r>
        <w:t xml:space="preserve">installed, there could be a great number of small files that will affect the size of the user profile in the </w:t>
      </w:r>
    </w:p>
    <w:p>
      <w:pPr>
        <w:pStyle w:val="Para 02"/>
      </w:pPr>
      <w:r>
        <w:t xml:space="preserve">Temporary Internet Files folder. This cache uses a small percentage of the total drive space, but can </w:t>
      </w:r>
    </w:p>
    <w:p>
      <w:pPr>
        <w:pStyle w:val="Para 02"/>
      </w:pPr>
      <w:r>
        <w:t xml:space="preserve">easily grow to be several megabytes in size. To delete these files, the user will need to empty the </w:t>
      </w:r>
    </w:p>
    <w:p>
      <w:pPr>
        <w:pStyle w:val="Para 02"/>
      </w:pPr>
      <w:r>
        <w:t xml:space="preserve">cache through the IE Internet Options dialog box. </w:t>
      </w:r>
    </w:p>
    <w:p>
      <w:pPr>
        <w:pStyle w:val="Para 25"/>
      </w:pPr>
      <w:r>
        <w:t/>
      </w:r>
    </w:p>
    <w:p>
      <w:pPr>
        <w:pStyle w:val="Para 02"/>
      </w:pPr>
      <w:r>
        <w:t xml:space="preserve">Be aware that a user can log off with an exceeded quota size by killing the ProQuota.exe process in </w:t>
      </w:r>
    </w:p>
    <w:p>
      <w:pPr>
        <w:pStyle w:val="Para 02"/>
      </w:pPr>
      <w:r>
        <w:t xml:space="preserve">Task Manager. Thus, defeating your imposed limitation. </w:t>
      </w:r>
    </w:p>
    <w:p>
      <w:pPr>
        <w:pStyle w:val="Para 25"/>
      </w:pPr>
      <w:r>
        <w:t/>
      </w:r>
    </w:p>
    <w:p>
      <w:pPr>
        <w:pStyle w:val="Para 12"/>
      </w:pPr>
      <w:r>
        <w:t xml:space="preserve">Post Deployment Profile Configuration </w:t>
      </w:r>
    </w:p>
    <w:p>
      <w:pPr>
        <w:pStyle w:val="Para 25"/>
      </w:pPr>
      <w:r>
        <w:t/>
      </w:r>
    </w:p>
    <w:p>
      <w:pPr>
        <w:pStyle w:val="Normal"/>
      </w:pPr>
      <w:r>
        <w:t xml:space="preserve">A well-planned and tested default user profile is a good start for users, but over time any environment will undergo change: new printers, new software, new groups, and new shares. An </w:t>
      </w:r>
    </w:p>
    <w:p>
      <w:pPr>
        <w:pStyle w:val="Normal"/>
      </w:pPr>
      <w:r>
        <w:t xml:space="preserve">implementation that dynamically dictates configuration and changes to settings will be best </w:t>
      </w:r>
    </w:p>
    <w:p>
      <w:pPr>
        <w:pStyle w:val="Normal"/>
      </w:pPr>
      <w:r>
        <w:t xml:space="preserve">suited to handle these inevitable changes. Furthermore, the more that is taken into account </w:t>
      </w:r>
    </w:p>
    <w:p>
      <w:pPr>
        <w:pStyle w:val="Normal"/>
      </w:pPr>
      <w:r>
        <w:t xml:space="preserve">dynamically, the less a default user profile is of any consequence. </w:t>
      </w:r>
    </w:p>
    <w:p>
      <w:pPr>
        <w:pStyle w:val="Para 25"/>
      </w:pPr>
      <w:r>
        <w:t/>
      </w:r>
    </w:p>
    <w:p>
      <w:pPr>
        <w:pStyle w:val="Para 07"/>
      </w:pPr>
      <w:r>
        <w:t xml:space="preserve">Dictating Settings at Startup </w:t>
      </w:r>
    </w:p>
    <w:p>
      <w:pPr>
        <w:pStyle w:val="Normal"/>
      </w:pPr>
      <w:r>
        <w:t xml:space="preserve">A dynamic means of configuring machines or users, Group Policy provides centralized control of </w:t>
      </w:r>
    </w:p>
    <w:p>
      <w:pPr>
        <w:pStyle w:val="Normal"/>
      </w:pPr>
      <w:r>
        <w:t xml:space="preserve">systems and can be easily modified for any or all users through its Startup and Shutdown script </w:t>
      </w:r>
    </w:p>
    <w:p>
      <w:pPr>
        <w:pStyle w:val="Normal"/>
      </w:pPr>
      <w:r>
        <w:t xml:space="preserve">capabilities. By enforcing changes to a computer at startup, a potentially lengthy logon period </w:t>
      </w:r>
    </w:p>
    <w:p>
      <w:pPr>
        <w:pStyle w:val="Normal"/>
      </w:pPr>
      <w:r>
        <w:t xml:space="preserve">can be dramatically reduced. However, changes made to the system at startup (and optionally, at shutdown) occur when no user profile is available for modification. </w:t>
      </w:r>
    </w:p>
    <w:p>
      <w:pPr>
        <w:pStyle w:val="Para 25"/>
      </w:pPr>
      <w:r>
        <w:t/>
      </w:r>
    </w:p>
    <w:p>
      <w:pPr>
        <w:pStyle w:val="Normal"/>
      </w:pPr>
      <w:r>
        <w:t xml:space="preserve">Despite this limitation, the more you work to customize your environment, the more you will </w:t>
      </w:r>
    </w:p>
    <w:p>
      <w:pPr>
        <w:pStyle w:val="Normal"/>
      </w:pPr>
      <w:r>
        <w:t xml:space="preserve">realize a need to modify settings outside the user profile. Security settings, software installation, and changes to the All Users profile or HKEY_LOCAL_MACHINE hive of the registry are </w:t>
      </w:r>
    </w:p>
    <w:p>
      <w:pPr>
        <w:pStyle w:val="Normal"/>
      </w:pPr>
      <w:r>
        <w:t xml:space="preserve">prime examples. Instead of working to bypass security and perform such actions during logon, </w:t>
      </w:r>
    </w:p>
    <w:p>
      <w:pPr>
        <w:pStyle w:val="Normal"/>
      </w:pPr>
      <w:r>
        <w:t xml:space="preserve">changes might be more appropriately set to take place before a user even logs on. </w:t>
      </w:r>
    </w:p>
    <w:p>
      <w:pPr>
        <w:pStyle w:val="Para 25"/>
      </w:pPr>
      <w:r>
        <w:t/>
      </w:r>
    </w:p>
    <w:p>
      <w:pPr>
        <w:pStyle w:val="Normal"/>
      </w:pPr>
      <w:r>
        <w:t xml:space="preserve">Keep in mind that, like System Policies, Group Policy enforces settings. If your desire is to </w:t>
      </w:r>
    </w:p>
    <w:p>
      <w:pPr>
        <w:pStyle w:val="Normal"/>
      </w:pPr>
      <w:r>
        <w:t xml:space="preserve">provide a default setting that might be modified by a user, policies are not the way to go. System </w:t>
      </w:r>
    </w:p>
    <w:p>
      <w:pPr>
        <w:pStyle w:val="Normal"/>
      </w:pPr>
      <w:r>
        <w:t xml:space="preserve">Policies </w:t>
      </w:r>
      <w:r>
        <w:rPr>
          <w:rStyle w:val="Text0"/>
        </w:rPr>
        <w:t>enforce</w:t>
      </w:r>
      <w:r>
        <w:t xml:space="preserve"> settings at logon, and Group Policy </w:t>
      </w:r>
      <w:r>
        <w:rPr>
          <w:rStyle w:val="Text0"/>
        </w:rPr>
        <w:t>enforces</w:t>
      </w:r>
      <w:r>
        <w:t xml:space="preserve"> settings at startup and logon as </w:t>
      </w:r>
    </w:p>
    <w:p>
      <w:pPr>
        <w:pStyle w:val="Normal"/>
      </w:pPr>
      <w:r>
        <w:t xml:space="preserve">appropriate. Further, Group Policy will reapply itself to the system at a specified interval. By default, this re-application occurs every 90 minutes, with a random offset time of as long as 30 </w:t>
      </w:r>
    </w:p>
    <w:p>
      <w:pPr>
        <w:pStyle w:val="Normal"/>
      </w:pPr>
      <w:r>
        <w:t xml:space="preserve">minutes (to prevent all clients from requesting Group Policy at once).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97" name="index-86_1.png" descr="index-86_1.png"/>
            <wp:cNvGraphicFramePr>
              <a:graphicFrameLocks noChangeAspect="1"/>
            </wp:cNvGraphicFramePr>
            <a:graphic>
              <a:graphicData uri="http://schemas.openxmlformats.org/drawingml/2006/picture">
                <pic:pic>
                  <pic:nvPicPr>
                    <pic:cNvPr id="0" name="index-86_1.png" descr="index-86_1.png"/>
                    <pic:cNvPicPr/>
                  </pic:nvPicPr>
                  <pic:blipFill>
                    <a:blip r:embed="rId20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198" name="index-86_2.png" descr="index-86_2.png"/>
            <wp:cNvGraphicFramePr>
              <a:graphicFrameLocks noChangeAspect="1"/>
            </wp:cNvGraphicFramePr>
            <a:graphic>
              <a:graphicData uri="http://schemas.openxmlformats.org/drawingml/2006/picture">
                <pic:pic>
                  <pic:nvPicPr>
                    <pic:cNvPr id="0" name="index-86_2.png" descr="index-86_2.png"/>
                    <pic:cNvPicPr/>
                  </pic:nvPicPr>
                  <pic:blipFill>
                    <a:blip r:embed="rId202"/>
                    <a:stretch>
                      <a:fillRect/>
                    </a:stretch>
                  </pic:blipFill>
                  <pic:spPr>
                    <a:xfrm>
                      <a:off x="0" y="0"/>
                      <a:ext cx="914400" cy="444500"/>
                    </a:xfrm>
                    <a:prstGeom prst="rect">
                      <a:avLst/>
                    </a:prstGeom>
                  </pic:spPr>
                </pic:pic>
              </a:graphicData>
            </a:graphic>
          </wp:anchor>
        </w:drawing>
      </w:r>
    </w:p>
    <w:p>
      <w:pPr>
        <w:pStyle w:val="0 Block"/>
      </w:pPr>
    </w:p>
    <w:p>
      <w:bookmarkStart w:id="91" w:name="Chapter_3_23"/>
      <w:pPr>
        <w:pStyle w:val="Heading 1"/>
        <w:pageBreakBefore w:val="on"/>
      </w:pPr>
      <w:r>
        <w:t>Chapter 3</w:t>
      </w:r>
      <w:bookmarkEnd w:id="91"/>
    </w:p>
    <w:p>
      <w:pPr>
        <w:pStyle w:val="Para 25"/>
      </w:pPr>
      <w:r>
        <w:t/>
      </w:r>
    </w:p>
    <w:p>
      <w:pPr>
        <w:pStyle w:val="Para 07"/>
      </w:pPr>
      <w:r>
        <w:t xml:space="preserve">Dictating Settings at Logon </w:t>
      </w:r>
    </w:p>
    <w:p>
      <w:pPr>
        <w:pStyle w:val="Normal"/>
      </w:pPr>
      <w:r>
        <w:t xml:space="preserve">Group Policy and System Policy can enforce settings at logon as well. Additionally, logon scripts </w:t>
      </w:r>
    </w:p>
    <w:p>
      <w:pPr>
        <w:pStyle w:val="Normal"/>
      </w:pPr>
      <w:r>
        <w:t xml:space="preserve">run in the context of the user logging onto a system, providing the ability to modify the user </w:t>
      </w:r>
    </w:p>
    <w:p>
      <w:pPr>
        <w:pStyle w:val="Normal"/>
      </w:pPr>
      <w:r>
        <w:t xml:space="preserve">profile. Typically implemented using scripting languages such as KiXtart, VBScript, or the DOS </w:t>
      </w:r>
    </w:p>
    <w:p>
      <w:pPr>
        <w:pStyle w:val="Normal"/>
      </w:pPr>
      <w:r>
        <w:t xml:space="preserve">Shell, administrators can dynamically customize the user environment based on several criteria, including: </w:t>
      </w:r>
    </w:p>
    <w:p>
      <w:pPr>
        <w:pStyle w:val="Para 25"/>
      </w:pPr>
      <w:r>
        <w:t/>
      </w:r>
    </w:p>
    <w:p>
      <w:pPr>
        <w:pStyle w:val="Para 04"/>
      </w:pPr>
      <w:r>
        <w:t xml:space="preserve">• Group membership </w:t>
      </w:r>
    </w:p>
    <w:p>
      <w:pPr>
        <w:pStyle w:val="Para 25"/>
      </w:pPr>
      <w:r>
        <w:t/>
      </w:r>
    </w:p>
    <w:p>
      <w:pPr>
        <w:pStyle w:val="Para 04"/>
      </w:pPr>
      <w:r>
        <w:t xml:space="preserve">• Computer name </w:t>
      </w:r>
    </w:p>
    <w:p>
      <w:pPr>
        <w:pStyle w:val="Para 25"/>
      </w:pPr>
      <w:r>
        <w:t/>
      </w:r>
    </w:p>
    <w:p>
      <w:pPr>
        <w:pStyle w:val="Para 04"/>
      </w:pPr>
      <w:r>
        <w:t xml:space="preserve">• IP address </w:t>
      </w:r>
    </w:p>
    <w:p>
      <w:pPr>
        <w:pStyle w:val="Para 25"/>
      </w:pPr>
      <w:r>
        <w:t/>
      </w:r>
    </w:p>
    <w:p>
      <w:pPr>
        <w:pStyle w:val="Para 04"/>
      </w:pPr>
      <w:r>
        <w:t xml:space="preserve">• Windows version </w:t>
      </w:r>
    </w:p>
    <w:p>
      <w:pPr>
        <w:pStyle w:val="Para 25"/>
      </w:pPr>
      <w:r>
        <w:t/>
      </w:r>
    </w:p>
    <w:p>
      <w:pPr>
        <w:pStyle w:val="Para 04"/>
      </w:pPr>
      <w:r>
        <w:t xml:space="preserve">• Organizational unit (OU—in AD) </w:t>
      </w:r>
    </w:p>
    <w:p>
      <w:pPr>
        <w:pStyle w:val="Para 25"/>
      </w:pPr>
      <w:r>
        <w:t/>
      </w:r>
    </w:p>
    <w:p>
      <w:pPr>
        <w:pStyle w:val="Normal"/>
      </w:pPr>
      <w:r>
        <w:t xml:space="preserve">Depending upon a user’s location, you might want to map certain printers. Depending upon what </w:t>
      </w:r>
    </w:p>
    <w:p>
      <w:pPr>
        <w:pStyle w:val="Normal"/>
      </w:pPr>
      <w:r>
        <w:t xml:space="preserve">group a user is a member of, you might want them to map a shared network folder. Depending upon the OU that the computer is in, you might want certain software configured. This </w:t>
      </w:r>
    </w:p>
    <w:p>
      <w:pPr>
        <w:pStyle w:val="Normal"/>
      </w:pPr>
      <w:r>
        <w:t xml:space="preserve">customization can be a rather involved endeavor depending upon your requirements. </w:t>
      </w:r>
    </w:p>
    <w:p>
      <w:pPr>
        <w:pStyle w:val="Para 25"/>
      </w:pPr>
      <w:r>
        <w:t/>
      </w:r>
    </w:p>
    <w:p>
      <w:pPr>
        <w:pStyle w:val="Para 02"/>
      </w:pPr>
      <w:r>
        <w:t xml:space="preserve">We will discuss custom scripting in more detail in Chapter 7. </w:t>
      </w:r>
    </w:p>
    <w:p>
      <w:pPr>
        <w:pStyle w:val="Para 25"/>
      </w:pPr>
      <w:r>
        <w:t/>
      </w:r>
    </w:p>
    <w:p>
      <w:pPr>
        <w:pStyle w:val="Para 12"/>
      </w:pPr>
      <w:r>
        <w:t xml:space="preserve">Additional Tools </w:t>
      </w:r>
    </w:p>
    <w:p>
      <w:pPr>
        <w:pStyle w:val="Para 25"/>
      </w:pPr>
      <w:r>
        <w:t/>
      </w:r>
    </w:p>
    <w:p>
      <w:pPr>
        <w:pStyle w:val="Normal"/>
      </w:pPr>
      <w:r>
        <w:t xml:space="preserve">Third-party tools have been introduced to help administrators maintain control and configuration </w:t>
      </w:r>
    </w:p>
    <w:p>
      <w:pPr>
        <w:pStyle w:val="Normal"/>
      </w:pPr>
      <w:r>
        <w:t xml:space="preserve">of user settings. Although a solution tailored specifically to your environment might be realized </w:t>
      </w:r>
    </w:p>
    <w:p>
      <w:pPr>
        <w:pStyle w:val="Normal"/>
      </w:pPr>
      <w:r>
        <w:t xml:space="preserve">using scripts and other command-line tools, such an implementation can be challenging, complicated, and limited to the capabilities of your staff. In this section, we will touch on the </w:t>
      </w:r>
    </w:p>
    <w:p>
      <w:pPr>
        <w:pStyle w:val="Normal"/>
      </w:pPr>
      <w:r>
        <w:t xml:space="preserve">capabilities of third-party tools designed to help employ a customized solution without the need </w:t>
      </w:r>
    </w:p>
    <w:p>
      <w:pPr>
        <w:pStyle w:val="Normal"/>
      </w:pPr>
      <w:r>
        <w:t xml:space="preserve">to write scripts. </w:t>
      </w:r>
    </w:p>
    <w:p>
      <w:pPr>
        <w:pStyle w:val="Para 25"/>
      </w:pPr>
      <w:r>
        <w:t/>
      </w:r>
    </w:p>
    <w:p>
      <w:pPr>
        <w:pStyle w:val="Para 07"/>
      </w:pPr>
      <w:r>
        <w:t xml:space="preserve">ScriptLogic </w:t>
      </w:r>
    </w:p>
    <w:p>
      <w:pPr>
        <w:pStyle w:val="Normal"/>
      </w:pPr>
      <w:r>
        <w:t xml:space="preserve">ScriptLogic provides a completely point-and-click interface for customizing a user’s desktop environment based on a wide variety of conditions. Figure 3.15 shows the Printers tab, one of </w:t>
      </w:r>
    </w:p>
    <w:p>
      <w:pPr>
        <w:pStyle w:val="Normal"/>
      </w:pPr>
      <w:r>
        <w:t xml:space="preserve">several items that you can customize.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199" name="index-87_1.png" descr="index-87_1.png"/>
            <wp:cNvGraphicFramePr>
              <a:graphicFrameLocks noChangeAspect="1"/>
            </wp:cNvGraphicFramePr>
            <a:graphic>
              <a:graphicData uri="http://schemas.openxmlformats.org/drawingml/2006/picture">
                <pic:pic>
                  <pic:nvPicPr>
                    <pic:cNvPr id="0" name="index-87_1.png" descr="index-87_1.png"/>
                    <pic:cNvPicPr/>
                  </pic:nvPicPr>
                  <pic:blipFill>
                    <a:blip r:embed="rId20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00" name="index-87_2.png" descr="index-87_2.png"/>
            <wp:cNvGraphicFramePr>
              <a:graphicFrameLocks noChangeAspect="1"/>
            </wp:cNvGraphicFramePr>
            <a:graphic>
              <a:graphicData uri="http://schemas.openxmlformats.org/drawingml/2006/picture">
                <pic:pic>
                  <pic:nvPicPr>
                    <pic:cNvPr id="0" name="index-87_2.png" descr="index-87_2.png"/>
                    <pic:cNvPicPr/>
                  </pic:nvPicPr>
                  <pic:blipFill>
                    <a:blip r:embed="rId204"/>
                    <a:stretch>
                      <a:fillRect/>
                    </a:stretch>
                  </pic:blipFill>
                  <pic:spPr>
                    <a:xfrm>
                      <a:off x="0" y="0"/>
                      <a:ext cx="914400" cy="444500"/>
                    </a:xfrm>
                    <a:prstGeom prst="rect">
                      <a:avLst/>
                    </a:prstGeom>
                  </pic:spPr>
                </pic:pic>
              </a:graphicData>
            </a:graphic>
          </wp:anchor>
        </w:drawing>
      </w:r>
    </w:p>
    <w:p>
      <w:pPr>
        <w:pStyle w:val="0 Block"/>
      </w:pPr>
    </w:p>
    <w:p>
      <w:bookmarkStart w:id="92" w:name="Chapter_3_24"/>
      <w:pPr>
        <w:pStyle w:val="Heading 1"/>
        <w:pageBreakBefore w:val="on"/>
      </w:pPr>
      <w:r>
        <w:t>Chapter 3</w:t>
      </w:r>
      <w:bookmarkEnd w:id="9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3124200"/>
            <wp:effectExtent l="0" r="0" t="0" b="0"/>
            <wp:wrapTopAndBottom/>
            <wp:docPr id="201" name="index-88_1.png" descr="index-88_1.png"/>
            <wp:cNvGraphicFramePr>
              <a:graphicFrameLocks noChangeAspect="1"/>
            </wp:cNvGraphicFramePr>
            <a:graphic>
              <a:graphicData uri="http://schemas.openxmlformats.org/drawingml/2006/picture">
                <pic:pic>
                  <pic:nvPicPr>
                    <pic:cNvPr id="0" name="index-88_1.png" descr="index-88_1.png"/>
                    <pic:cNvPicPr/>
                  </pic:nvPicPr>
                  <pic:blipFill>
                    <a:blip r:embed="rId205"/>
                    <a:stretch>
                      <a:fillRect/>
                    </a:stretch>
                  </pic:blipFill>
                  <pic:spPr>
                    <a:xfrm>
                      <a:off x="0" y="0"/>
                      <a:ext cx="3810000" cy="31242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3.15: Using ScriptLogic to customize a user’s desktop environment. </w:t>
      </w:r>
    </w:p>
    <w:p>
      <w:pPr>
        <w:pStyle w:val="Para 25"/>
      </w:pPr>
      <w:r>
        <w:t/>
      </w:r>
    </w:p>
    <w:p>
      <w:pPr>
        <w:pStyle w:val="Normal"/>
      </w:pPr>
      <w:r>
        <w:t xml:space="preserve">The following conditions, for which actions can be based (as supported by ScriptLogic), provide </w:t>
      </w:r>
    </w:p>
    <w:p>
      <w:pPr>
        <w:pStyle w:val="Normal"/>
      </w:pPr>
      <w:r>
        <w:t xml:space="preserve">a good example of how you can implement a truly dynamic configuration: </w:t>
      </w:r>
    </w:p>
    <w:p>
      <w:pPr>
        <w:pStyle w:val="Para 25"/>
      </w:pPr>
      <w:r>
        <w:t/>
      </w:r>
    </w:p>
    <w:p>
      <w:pPr>
        <w:pStyle w:val="Para 04"/>
      </w:pPr>
      <w:r>
        <w:t xml:space="preserve">• Domain </w:t>
      </w:r>
    </w:p>
    <w:p>
      <w:pPr>
        <w:pStyle w:val="Para 25"/>
      </w:pPr>
      <w:r>
        <w:t/>
      </w:r>
    </w:p>
    <w:p>
      <w:pPr>
        <w:pStyle w:val="Para 04"/>
      </w:pPr>
      <w:r>
        <w:t xml:space="preserve">• Site </w:t>
      </w:r>
    </w:p>
    <w:p>
      <w:pPr>
        <w:pStyle w:val="Para 25"/>
      </w:pPr>
      <w:r>
        <w:t/>
      </w:r>
    </w:p>
    <w:p>
      <w:pPr>
        <w:pStyle w:val="Para 04"/>
      </w:pPr>
      <w:r>
        <w:t xml:space="preserve">• Computer or User OU </w:t>
      </w:r>
    </w:p>
    <w:p>
      <w:pPr>
        <w:pStyle w:val="Para 25"/>
      </w:pPr>
      <w:r>
        <w:t/>
      </w:r>
    </w:p>
    <w:p>
      <w:pPr>
        <w:pStyle w:val="Para 04"/>
      </w:pPr>
      <w:r>
        <w:t xml:space="preserve">• Group membership </w:t>
      </w:r>
    </w:p>
    <w:p>
      <w:pPr>
        <w:pStyle w:val="Para 25"/>
      </w:pPr>
      <w:r>
        <w:t/>
      </w:r>
    </w:p>
    <w:p>
      <w:pPr>
        <w:pStyle w:val="Para 04"/>
      </w:pPr>
      <w:r>
        <w:t xml:space="preserve">• Primary group </w:t>
      </w:r>
    </w:p>
    <w:p>
      <w:pPr>
        <w:pStyle w:val="Para 25"/>
      </w:pPr>
      <w:r>
        <w:t/>
      </w:r>
    </w:p>
    <w:p>
      <w:pPr>
        <w:pStyle w:val="Para 04"/>
      </w:pPr>
      <w:r>
        <w:t xml:space="preserve">• User name </w:t>
      </w:r>
    </w:p>
    <w:p>
      <w:pPr>
        <w:pStyle w:val="Para 25"/>
      </w:pPr>
      <w:r>
        <w:t/>
      </w:r>
    </w:p>
    <w:p>
      <w:pPr>
        <w:pStyle w:val="Para 04"/>
      </w:pPr>
      <w:r>
        <w:t xml:space="preserve">• TCP/IP address </w:t>
      </w:r>
    </w:p>
    <w:p>
      <w:pPr>
        <w:pStyle w:val="Para 25"/>
      </w:pPr>
      <w:r>
        <w:t/>
      </w:r>
    </w:p>
    <w:p>
      <w:pPr>
        <w:pStyle w:val="Para 04"/>
      </w:pPr>
      <w:r>
        <w:t xml:space="preserve">• Host access </w:t>
      </w:r>
    </w:p>
    <w:p>
      <w:pPr>
        <w:pStyle w:val="Para 25"/>
      </w:pPr>
      <w:r>
        <w:t/>
      </w:r>
    </w:p>
    <w:p>
      <w:pPr>
        <w:pStyle w:val="Para 04"/>
      </w:pPr>
      <w:r>
        <w:t xml:space="preserve">• Computer name </w:t>
      </w:r>
    </w:p>
    <w:p>
      <w:pPr>
        <w:pStyle w:val="Para 25"/>
      </w:pPr>
      <w:r>
        <w:t/>
      </w:r>
    </w:p>
    <w:p>
      <w:pPr>
        <w:pStyle w:val="Para 04"/>
      </w:pPr>
      <w:r>
        <w:t xml:space="preserve">• MAC address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02" name="index-88_2.png" descr="index-88_2.png"/>
            <wp:cNvGraphicFramePr>
              <a:graphicFrameLocks noChangeAspect="1"/>
            </wp:cNvGraphicFramePr>
            <a:graphic>
              <a:graphicData uri="http://schemas.openxmlformats.org/drawingml/2006/picture">
                <pic:pic>
                  <pic:nvPicPr>
                    <pic:cNvPr id="0" name="index-88_2.png" descr="index-88_2.png"/>
                    <pic:cNvPicPr/>
                  </pic:nvPicPr>
                  <pic:blipFill>
                    <a:blip r:embed="rId20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03" name="index-88_3.png" descr="index-88_3.png"/>
            <wp:cNvGraphicFramePr>
              <a:graphicFrameLocks noChangeAspect="1"/>
            </wp:cNvGraphicFramePr>
            <a:graphic>
              <a:graphicData uri="http://schemas.openxmlformats.org/drawingml/2006/picture">
                <pic:pic>
                  <pic:nvPicPr>
                    <pic:cNvPr id="0" name="index-88_3.png" descr="index-88_3.png"/>
                    <pic:cNvPicPr/>
                  </pic:nvPicPr>
                  <pic:blipFill>
                    <a:blip r:embed="rId207"/>
                    <a:stretch>
                      <a:fillRect/>
                    </a:stretch>
                  </pic:blipFill>
                  <pic:spPr>
                    <a:xfrm>
                      <a:off x="0" y="0"/>
                      <a:ext cx="914400" cy="444500"/>
                    </a:xfrm>
                    <a:prstGeom prst="rect">
                      <a:avLst/>
                    </a:prstGeom>
                  </pic:spPr>
                </pic:pic>
              </a:graphicData>
            </a:graphic>
          </wp:anchor>
        </w:drawing>
      </w:r>
    </w:p>
    <w:p>
      <w:pPr>
        <w:pStyle w:val="0 Block"/>
      </w:pPr>
    </w:p>
    <w:p>
      <w:bookmarkStart w:id="93" w:name="Chapter_3_25"/>
      <w:pPr>
        <w:pStyle w:val="Heading 1"/>
        <w:pageBreakBefore w:val="on"/>
      </w:pPr>
      <w:r>
        <w:t>Chapter 3</w:t>
      </w:r>
      <w:bookmarkEnd w:id="93"/>
    </w:p>
    <w:p>
      <w:pPr>
        <w:pStyle w:val="Para 25"/>
      </w:pPr>
      <w:r>
        <w:t/>
      </w:r>
    </w:p>
    <w:p>
      <w:pPr>
        <w:pStyle w:val="Para 04"/>
      </w:pPr>
      <w:r>
        <w:t xml:space="preserve">• Terminal Services application name </w:t>
      </w:r>
    </w:p>
    <w:p>
      <w:pPr>
        <w:pStyle w:val="Para 25"/>
      </w:pPr>
      <w:r>
        <w:t/>
      </w:r>
    </w:p>
    <w:p>
      <w:pPr>
        <w:pStyle w:val="Para 04"/>
      </w:pPr>
      <w:r>
        <w:t xml:space="preserve">• Terminal Services initial program </w:t>
      </w:r>
    </w:p>
    <w:p>
      <w:pPr>
        <w:pStyle w:val="Para 25"/>
      </w:pPr>
      <w:r>
        <w:t/>
      </w:r>
    </w:p>
    <w:p>
      <w:pPr>
        <w:pStyle w:val="Para 04"/>
      </w:pPr>
      <w:r>
        <w:t xml:space="preserve">• Terminal Services session name </w:t>
      </w:r>
    </w:p>
    <w:p>
      <w:pPr>
        <w:pStyle w:val="Para 25"/>
      </w:pPr>
      <w:r>
        <w:t/>
      </w:r>
    </w:p>
    <w:p>
      <w:pPr>
        <w:pStyle w:val="Para 04"/>
      </w:pPr>
      <w:r>
        <w:t xml:space="preserve">• ICA client TCP/IP address </w:t>
      </w:r>
    </w:p>
    <w:p>
      <w:pPr>
        <w:pStyle w:val="Para 25"/>
      </w:pPr>
      <w:r>
        <w:t/>
      </w:r>
    </w:p>
    <w:p>
      <w:pPr>
        <w:pStyle w:val="Normal"/>
      </w:pPr>
      <w:r>
        <w:t xml:space="preserve">Additionally, you may focus actions on specific versions of Windows, connection types (LAN or </w:t>
      </w:r>
    </w:p>
    <w:p>
      <w:pPr>
        <w:pStyle w:val="Normal"/>
      </w:pPr>
      <w:r>
        <w:t xml:space="preserve">dial-up), and class of systems (desktops, portable systems, Terminal Service clients, member </w:t>
      </w:r>
    </w:p>
    <w:p>
      <w:pPr>
        <w:pStyle w:val="Normal"/>
      </w:pPr>
      <w:r>
        <w:t xml:space="preserve">servers, and domain controllers). It also provides the ability to run at logon or logoff (on all Windows platforms) and can use an alternative security context to perform actions that you </w:t>
      </w:r>
    </w:p>
    <w:p>
      <w:pPr>
        <w:pStyle w:val="Normal"/>
      </w:pPr>
      <w:r>
        <w:t xml:space="preserve">might otherwise be unable to carryout within the user security context. </w:t>
      </w:r>
    </w:p>
    <w:p>
      <w:pPr>
        <w:pStyle w:val="Para 25"/>
      </w:pPr>
      <w:r>
        <w:t/>
      </w:r>
    </w:p>
    <w:p>
      <w:pPr>
        <w:pStyle w:val="Para 07"/>
      </w:pPr>
      <w:r>
        <w:t xml:space="preserve">Visual KIX </w:t>
      </w:r>
    </w:p>
    <w:p>
      <w:pPr>
        <w:pStyle w:val="Normal"/>
      </w:pPr>
      <w:r>
        <w:t xml:space="preserve">Another solution for gaining the ability to customize and dictate configurations without writing </w:t>
      </w:r>
    </w:p>
    <w:p>
      <w:pPr>
        <w:pStyle w:val="Normal"/>
      </w:pPr>
      <w:r>
        <w:t xml:space="preserve">scripts is Visual KIX. This tool provides the ability to accomplish many basic actions one would typically include in a logon script, including drive mappings (see Figure 3.16), registry changes, </w:t>
      </w:r>
    </w:p>
    <w:p>
      <w:pPr>
        <w:pStyle w:val="Normal"/>
      </w:pPr>
      <w:r>
        <w:t xml:space="preserve">program launches, time synchronization, and the installation of service packs.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49600" cy="2451100"/>
            <wp:effectExtent l="0" r="0" t="0" b="0"/>
            <wp:wrapTopAndBottom/>
            <wp:docPr id="204" name="index-89_1.png" descr="index-89_1.png"/>
            <wp:cNvGraphicFramePr>
              <a:graphicFrameLocks noChangeAspect="1"/>
            </wp:cNvGraphicFramePr>
            <a:graphic>
              <a:graphicData uri="http://schemas.openxmlformats.org/drawingml/2006/picture">
                <pic:pic>
                  <pic:nvPicPr>
                    <pic:cNvPr id="0" name="index-89_1.png" descr="index-89_1.png"/>
                    <pic:cNvPicPr/>
                  </pic:nvPicPr>
                  <pic:blipFill>
                    <a:blip r:embed="rId208"/>
                    <a:stretch>
                      <a:fillRect/>
                    </a:stretch>
                  </pic:blipFill>
                  <pic:spPr>
                    <a:xfrm>
                      <a:off x="0" y="0"/>
                      <a:ext cx="3149600" cy="24511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3.16: Visual KIX GUI. </w:t>
      </w:r>
    </w:p>
    <w:p>
      <w:pPr>
        <w:pStyle w:val="Para 25"/>
      </w:pPr>
      <w:r>
        <w:t/>
      </w:r>
    </w:p>
    <w:p>
      <w:pPr>
        <w:pStyle w:val="Normal"/>
      </w:pPr>
      <w:r>
        <w:t xml:space="preserve">Like ScriptLogic, Visual KIX also provides an automated method for replicating your final configuration to the network from which it is called through the normal logon script process.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05" name="index-89_2.png" descr="index-89_2.png"/>
            <wp:cNvGraphicFramePr>
              <a:graphicFrameLocks noChangeAspect="1"/>
            </wp:cNvGraphicFramePr>
            <a:graphic>
              <a:graphicData uri="http://schemas.openxmlformats.org/drawingml/2006/picture">
                <pic:pic>
                  <pic:nvPicPr>
                    <pic:cNvPr id="0" name="index-89_2.png" descr="index-89_2.png"/>
                    <pic:cNvPicPr/>
                  </pic:nvPicPr>
                  <pic:blipFill>
                    <a:blip r:embed="rId20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06" name="index-89_3.png" descr="index-89_3.png"/>
            <wp:cNvGraphicFramePr>
              <a:graphicFrameLocks noChangeAspect="1"/>
            </wp:cNvGraphicFramePr>
            <a:graphic>
              <a:graphicData uri="http://schemas.openxmlformats.org/drawingml/2006/picture">
                <pic:pic>
                  <pic:nvPicPr>
                    <pic:cNvPr id="0" name="index-89_3.png" descr="index-89_3.png"/>
                    <pic:cNvPicPr/>
                  </pic:nvPicPr>
                  <pic:blipFill>
                    <a:blip r:embed="rId210"/>
                    <a:stretch>
                      <a:fillRect/>
                    </a:stretch>
                  </pic:blipFill>
                  <pic:spPr>
                    <a:xfrm>
                      <a:off x="0" y="0"/>
                      <a:ext cx="914400" cy="444500"/>
                    </a:xfrm>
                    <a:prstGeom prst="rect">
                      <a:avLst/>
                    </a:prstGeom>
                  </pic:spPr>
                </pic:pic>
              </a:graphicData>
            </a:graphic>
          </wp:anchor>
        </w:drawing>
      </w:r>
    </w:p>
    <w:p>
      <w:pPr>
        <w:pStyle w:val="0 Block"/>
      </w:pPr>
    </w:p>
    <w:p>
      <w:bookmarkStart w:id="94" w:name="Chapter_3_26"/>
      <w:pPr>
        <w:pStyle w:val="Heading 1"/>
        <w:pageBreakBefore w:val="on"/>
      </w:pPr>
      <w:r>
        <w:t>Chapter 3</w:t>
      </w:r>
      <w:bookmarkEnd w:id="94"/>
    </w:p>
    <w:p>
      <w:pPr>
        <w:pStyle w:val="Para 25"/>
      </w:pPr>
      <w:r>
        <w:t/>
      </w:r>
    </w:p>
    <w:p>
      <w:pPr>
        <w:pStyle w:val="Para 02"/>
      </w:pPr>
      <w:r>
        <w:t xml:space="preserve">Both ScriptLogic and Visual KIX utilize the KiXtart scripting language as their core engine, which </w:t>
      </w:r>
    </w:p>
    <w:p>
      <w:pPr>
        <w:pStyle w:val="Para 02"/>
      </w:pPr>
      <w:r>
        <w:t xml:space="preserve">illustrates the power and usefulness of KiXtart as a Windows logon scripting language. For more </w:t>
      </w:r>
    </w:p>
    <w:p>
      <w:pPr>
        <w:pStyle w:val="Para 02"/>
      </w:pPr>
      <w:r>
        <w:t xml:space="preserve">information about KiXtart, visit http://www.KiXscripts.com, http://www.KiXtart.org, or </w:t>
      </w:r>
    </w:p>
    <w:p>
      <w:pPr>
        <w:pStyle w:val="Para 02"/>
      </w:pPr>
      <w:r>
        <w:t xml:space="preserve">http://scriptlogic.com/kixtart. </w:t>
      </w:r>
    </w:p>
    <w:p>
      <w:pPr>
        <w:pStyle w:val="Para 25"/>
      </w:pPr>
      <w:r>
        <w:t/>
      </w:r>
    </w:p>
    <w:p>
      <w:pPr>
        <w:pStyle w:val="Para 12"/>
      </w:pPr>
      <w:r>
        <w:t xml:space="preserve">Backing Up and Restoring Profiles </w:t>
      </w:r>
    </w:p>
    <w:p>
      <w:pPr>
        <w:pStyle w:val="Para 25"/>
      </w:pPr>
      <w:r>
        <w:t/>
      </w:r>
    </w:p>
    <w:p>
      <w:pPr>
        <w:pStyle w:val="Normal"/>
      </w:pPr>
      <w:r>
        <w:t xml:space="preserve">By now, we have established that user profiles are certainly critical to users, especially considering the potential for the inclusion of data created by the user. It therefore stands to </w:t>
      </w:r>
    </w:p>
    <w:p>
      <w:pPr>
        <w:pStyle w:val="Normal"/>
      </w:pPr>
      <w:r>
        <w:t xml:space="preserve">reason that you would want to back up user profiles. </w:t>
      </w:r>
    </w:p>
    <w:p>
      <w:pPr>
        <w:pStyle w:val="Para 25"/>
      </w:pPr>
      <w:r>
        <w:t/>
      </w:r>
    </w:p>
    <w:p>
      <w:pPr>
        <w:pStyle w:val="Para 07"/>
      </w:pPr>
      <w:r>
        <w:t xml:space="preserve">Traditional Backup Systems </w:t>
      </w:r>
    </w:p>
    <w:p>
      <w:pPr>
        <w:pStyle w:val="Normal"/>
      </w:pPr>
      <w:r>
        <w:t xml:space="preserve">In environments in which roaming user profiles have been implemented, simply backing up the </w:t>
      </w:r>
    </w:p>
    <w:p>
      <w:pPr>
        <w:pStyle w:val="Normal"/>
      </w:pPr>
      <w:r>
        <w:t xml:space="preserve">share to which they are stored is a simple and effective way of maintaining a backup. Scheduling a regular backup of your roaming profile share to occur daily or weekly is recommended for any </w:t>
      </w:r>
    </w:p>
    <w:p>
      <w:pPr>
        <w:pStyle w:val="Normal"/>
      </w:pPr>
      <w:r>
        <w:t xml:space="preserve">network implementation of roaming profiles. Since the release of NT, backup software has been </w:t>
      </w:r>
    </w:p>
    <w:p>
      <w:pPr>
        <w:pStyle w:val="Normal"/>
      </w:pPr>
      <w:r>
        <w:t xml:space="preserve">included as a utility within Windows. Win2K introduced a significant update to the backup software through its licensing of Veritas’s backup software (see Figure 3.17). Most networks </w:t>
      </w:r>
    </w:p>
    <w:p>
      <w:pPr>
        <w:pStyle w:val="Normal"/>
      </w:pPr>
      <w:r>
        <w:t xml:space="preserve">have a backup mechanism of some kind in place; simply ensure that roaming user profiles are </w:t>
      </w:r>
    </w:p>
    <w:p>
      <w:pPr>
        <w:pStyle w:val="Normal"/>
      </w:pPr>
      <w:r>
        <w:t xml:space="preserve">included in the backup and (if possible) given special consideration for quick recovery.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07" name="index-90_1.png" descr="index-90_1.png"/>
            <wp:cNvGraphicFramePr>
              <a:graphicFrameLocks noChangeAspect="1"/>
            </wp:cNvGraphicFramePr>
            <a:graphic>
              <a:graphicData uri="http://schemas.openxmlformats.org/drawingml/2006/picture">
                <pic:pic>
                  <pic:nvPicPr>
                    <pic:cNvPr id="0" name="index-90_1.png" descr="index-90_1.png"/>
                    <pic:cNvPicPr/>
                  </pic:nvPicPr>
                  <pic:blipFill>
                    <a:blip r:embed="rId21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08" name="index-90_2.png" descr="index-90_2.png"/>
            <wp:cNvGraphicFramePr>
              <a:graphicFrameLocks noChangeAspect="1"/>
            </wp:cNvGraphicFramePr>
            <a:graphic>
              <a:graphicData uri="http://schemas.openxmlformats.org/drawingml/2006/picture">
                <pic:pic>
                  <pic:nvPicPr>
                    <pic:cNvPr id="0" name="index-90_2.png" descr="index-90_2.png"/>
                    <pic:cNvPicPr/>
                  </pic:nvPicPr>
                  <pic:blipFill>
                    <a:blip r:embed="rId212"/>
                    <a:stretch>
                      <a:fillRect/>
                    </a:stretch>
                  </pic:blipFill>
                  <pic:spPr>
                    <a:xfrm>
                      <a:off x="0" y="0"/>
                      <a:ext cx="914400" cy="444500"/>
                    </a:xfrm>
                    <a:prstGeom prst="rect">
                      <a:avLst/>
                    </a:prstGeom>
                  </pic:spPr>
                </pic:pic>
              </a:graphicData>
            </a:graphic>
          </wp:anchor>
        </w:drawing>
      </w:r>
    </w:p>
    <w:p>
      <w:pPr>
        <w:pStyle w:val="0 Block"/>
      </w:pPr>
    </w:p>
    <w:p>
      <w:bookmarkStart w:id="95" w:name="Chapter_3_27"/>
      <w:pPr>
        <w:pStyle w:val="Heading 1"/>
        <w:pageBreakBefore w:val="on"/>
      </w:pPr>
      <w:r>
        <w:t>Chapter 3</w:t>
      </w:r>
      <w:bookmarkEnd w:id="9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3098800"/>
            <wp:effectExtent l="0" r="0" t="0" b="0"/>
            <wp:wrapTopAndBottom/>
            <wp:docPr id="209" name="index-91_1.png" descr="index-91_1.png"/>
            <wp:cNvGraphicFramePr>
              <a:graphicFrameLocks noChangeAspect="1"/>
            </wp:cNvGraphicFramePr>
            <a:graphic>
              <a:graphicData uri="http://schemas.openxmlformats.org/drawingml/2006/picture">
                <pic:pic>
                  <pic:nvPicPr>
                    <pic:cNvPr id="0" name="index-91_1.png" descr="index-91_1.png"/>
                    <pic:cNvPicPr/>
                  </pic:nvPicPr>
                  <pic:blipFill>
                    <a:blip r:embed="rId213"/>
                    <a:stretch>
                      <a:fillRect/>
                    </a:stretch>
                  </pic:blipFill>
                  <pic:spPr>
                    <a:xfrm>
                      <a:off x="0" y="0"/>
                      <a:ext cx="3810000" cy="30988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3.17: Microsoft Windows backup. </w:t>
      </w:r>
    </w:p>
    <w:p>
      <w:pPr>
        <w:pStyle w:val="Para 25"/>
      </w:pPr>
      <w:r>
        <w:t/>
      </w:r>
    </w:p>
    <w:p>
      <w:pPr>
        <w:pStyle w:val="Para 07"/>
      </w:pPr>
      <w:r>
        <w:t xml:space="preserve">Scripted Copies </w:t>
      </w:r>
    </w:p>
    <w:p>
      <w:pPr>
        <w:pStyle w:val="Normal"/>
      </w:pPr>
      <w:r>
        <w:t xml:space="preserve">A scheduled script to perform a backup of user profiles to another folder or server share is </w:t>
      </w:r>
    </w:p>
    <w:p>
      <w:pPr>
        <w:pStyle w:val="Normal"/>
      </w:pPr>
      <w:r>
        <w:t xml:space="preserve">another commonly employed method of maintaining backups of user profiles. Either copying a network share where roaming profiles are stored or remotely accessing each local workstation, </w:t>
      </w:r>
    </w:p>
    <w:p>
      <w:pPr>
        <w:pStyle w:val="Normal"/>
      </w:pPr>
      <w:r>
        <w:t xml:space="preserve">keeping an online backup makes for quick and easy restore. The following text shows a simple </w:t>
      </w:r>
    </w:p>
    <w:p>
      <w:pPr>
        <w:pStyle w:val="Normal"/>
      </w:pPr>
      <w:r>
        <w:t xml:space="preserve">example of how you can create a backup copy of your roaming user profiles: </w:t>
      </w:r>
    </w:p>
    <w:p>
      <w:pPr>
        <w:pStyle w:val="Para 25"/>
      </w:pPr>
      <w:r>
        <w:t/>
      </w:r>
    </w:p>
    <w:p>
      <w:pPr>
        <w:pStyle w:val="Para 11"/>
      </w:pPr>
      <w:r>
        <w:t xml:space="preserve">Robocopy D:\Profiles \\BackupServer\Profiles /E /PURGE </w:t>
      </w:r>
    </w:p>
    <w:p>
      <w:pPr>
        <w:pStyle w:val="Normal"/>
      </w:pPr>
      <w:r>
        <w:t xml:space="preserve">This command line will copy all files from the local D:\Profiles folder to the </w:t>
      </w:r>
    </w:p>
    <w:p>
      <w:pPr>
        <w:pStyle w:val="Normal"/>
      </w:pPr>
      <w:r>
        <w:t xml:space="preserve">\\BackupServer\Profiles share. The /E switch instructs Robocopy to include subdirectories, </w:t>
      </w:r>
    </w:p>
    <w:p>
      <w:pPr>
        <w:pStyle w:val="Normal"/>
      </w:pPr>
      <w:r>
        <w:t xml:space="preserve">including empty ones, and the /PURGE switch instructs Robocopy to remove any files from the </w:t>
      </w:r>
    </w:p>
    <w:p>
      <w:pPr>
        <w:pStyle w:val="Normal"/>
      </w:pPr>
      <w:r>
        <w:t xml:space="preserve">destination directory that do not exist in the source location. </w:t>
      </w:r>
    </w:p>
    <w:p>
      <w:pPr>
        <w:pStyle w:val="Para 25"/>
      </w:pPr>
      <w:r>
        <w:t/>
      </w:r>
    </w:p>
    <w:p>
      <w:pPr>
        <w:pStyle w:val="Para 02"/>
      </w:pPr>
      <w:r>
        <w:t xml:space="preserve">Robocopy (Robust Copy) is available from in Microsoft resource kits (NT and later versions).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10" name="index-91_2.png" descr="index-91_2.png"/>
            <wp:cNvGraphicFramePr>
              <a:graphicFrameLocks noChangeAspect="1"/>
            </wp:cNvGraphicFramePr>
            <a:graphic>
              <a:graphicData uri="http://schemas.openxmlformats.org/drawingml/2006/picture">
                <pic:pic>
                  <pic:nvPicPr>
                    <pic:cNvPr id="0" name="index-91_2.png" descr="index-91_2.png"/>
                    <pic:cNvPicPr/>
                  </pic:nvPicPr>
                  <pic:blipFill>
                    <a:blip r:embed="rId21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11" name="index-91_3.png" descr="index-91_3.png"/>
            <wp:cNvGraphicFramePr>
              <a:graphicFrameLocks noChangeAspect="1"/>
            </wp:cNvGraphicFramePr>
            <a:graphic>
              <a:graphicData uri="http://schemas.openxmlformats.org/drawingml/2006/picture">
                <pic:pic>
                  <pic:nvPicPr>
                    <pic:cNvPr id="0" name="index-91_3.png" descr="index-91_3.png"/>
                    <pic:cNvPicPr/>
                  </pic:nvPicPr>
                  <pic:blipFill>
                    <a:blip r:embed="rId215"/>
                    <a:stretch>
                      <a:fillRect/>
                    </a:stretch>
                  </pic:blipFill>
                  <pic:spPr>
                    <a:xfrm>
                      <a:off x="0" y="0"/>
                      <a:ext cx="914400" cy="444500"/>
                    </a:xfrm>
                    <a:prstGeom prst="rect">
                      <a:avLst/>
                    </a:prstGeom>
                  </pic:spPr>
                </pic:pic>
              </a:graphicData>
            </a:graphic>
          </wp:anchor>
        </w:drawing>
      </w:r>
    </w:p>
    <w:p>
      <w:pPr>
        <w:pStyle w:val="0 Block"/>
      </w:pPr>
    </w:p>
    <w:p>
      <w:bookmarkStart w:id="96" w:name="Chapter_3_28"/>
      <w:pPr>
        <w:pStyle w:val="Heading 1"/>
        <w:pageBreakBefore w:val="on"/>
      </w:pPr>
      <w:r>
        <w:t>Chapter 3</w:t>
      </w:r>
      <w:bookmarkEnd w:id="96"/>
    </w:p>
    <w:p>
      <w:pPr>
        <w:pStyle w:val="Para 25"/>
      </w:pPr>
      <w:r>
        <w:t/>
      </w:r>
    </w:p>
    <w:p>
      <w:pPr>
        <w:pStyle w:val="Para 07"/>
      </w:pPr>
      <w:r>
        <w:t xml:space="preserve">Migration Tools </w:t>
      </w:r>
    </w:p>
    <w:p>
      <w:pPr>
        <w:pStyle w:val="Normal"/>
      </w:pPr>
      <w:r>
        <w:t xml:space="preserve">There are several tools on the market to help in the migration of user data and settings from one </w:t>
      </w:r>
    </w:p>
    <w:p>
      <w:pPr>
        <w:pStyle w:val="Normal"/>
      </w:pPr>
      <w:r>
        <w:t xml:space="preserve">system to another. These tools are geared toward those moving to a fresh new system who want </w:t>
      </w:r>
    </w:p>
    <w:p>
      <w:pPr>
        <w:pStyle w:val="Normal"/>
      </w:pPr>
      <w:r>
        <w:t xml:space="preserve">to retain their desktop appearance and settings (including data files stored on the system </w:t>
      </w:r>
    </w:p>
    <w:p>
      <w:pPr>
        <w:pStyle w:val="Normal"/>
      </w:pPr>
      <w:r>
        <w:t xml:space="preserve">identified by either directory or file extension). A fresh system is typically introduced via the deployment of a new OS or baseline deployment. With the exception of manual or scripted </w:t>
      </w:r>
    </w:p>
    <w:p>
      <w:pPr>
        <w:pStyle w:val="Normal"/>
      </w:pPr>
      <w:r>
        <w:t xml:space="preserve">updates to the Windows OS, user settings and data are typically lost. User data may be taken out </w:t>
      </w:r>
    </w:p>
    <w:p>
      <w:pPr>
        <w:pStyle w:val="Normal"/>
      </w:pPr>
      <w:r>
        <w:t xml:space="preserve">of the equation if folder redirection is in use, but settings must often still be taken into consideration. You can use third-party migration tools to migrate from one version of Windows </w:t>
      </w:r>
    </w:p>
    <w:p>
      <w:pPr>
        <w:pStyle w:val="Normal"/>
      </w:pPr>
      <w:r>
        <w:t xml:space="preserve">to another or as a part of your desktop recovery process. Additionally, most of the imaging tools </w:t>
      </w:r>
    </w:p>
    <w:p>
      <w:pPr>
        <w:pStyle w:val="Normal"/>
      </w:pPr>
      <w:r>
        <w:t xml:space="preserve">on the market today include a user settings and data migration tool. </w:t>
      </w:r>
    </w:p>
    <w:p>
      <w:pPr>
        <w:pStyle w:val="Para 25"/>
      </w:pPr>
      <w:r>
        <w:t/>
      </w:r>
    </w:p>
    <w:p>
      <w:pPr>
        <w:pStyle w:val="Para 02"/>
      </w:pPr>
      <w:r>
        <w:t xml:space="preserve">You can find links, information, and reviews of the many migration tools on the market at </w:t>
      </w:r>
    </w:p>
    <w:p>
      <w:pPr>
        <w:pStyle w:val="Para 02"/>
      </w:pPr>
      <w:r>
        <w:t xml:space="preserve">http://appdeploy.com/tools/migration.asp. </w:t>
      </w:r>
    </w:p>
    <w:p>
      <w:pPr>
        <w:pStyle w:val="Para 25"/>
      </w:pPr>
      <w:r>
        <w:t/>
      </w:r>
    </w:p>
    <w:p>
      <w:pPr>
        <w:pStyle w:val="Para 12"/>
      </w:pPr>
      <w:r>
        <w:t xml:space="preserve">Troubleshooting Profiles </w:t>
      </w:r>
    </w:p>
    <w:p>
      <w:pPr>
        <w:pStyle w:val="Para 25"/>
      </w:pPr>
      <w:r>
        <w:t/>
      </w:r>
    </w:p>
    <w:p>
      <w:pPr>
        <w:pStyle w:val="Normal"/>
      </w:pPr>
      <w:r>
        <w:t xml:space="preserve">Because profiles are a distinctly separate element of the user environment, they can be used in </w:t>
      </w:r>
    </w:p>
    <w:p>
      <w:pPr>
        <w:pStyle w:val="Normal"/>
      </w:pPr>
      <w:r>
        <w:t xml:space="preserve">troubleshooting. When there is a problem with someone’s machine, some administrators </w:t>
      </w:r>
    </w:p>
    <w:p>
      <w:pPr>
        <w:pStyle w:val="Normal"/>
      </w:pPr>
      <w:r>
        <w:t xml:space="preserve">promptly delete the user profile to see whether the problem goes away. Doing so can cause considerable trouble for users who have worked to define their default settings and even the </w:t>
      </w:r>
    </w:p>
    <w:p>
      <w:pPr>
        <w:pStyle w:val="Normal"/>
      </w:pPr>
      <w:r>
        <w:t xml:space="preserve">appearance of their desktop. It might seem unimportant, but if users will spend time restoring </w:t>
      </w:r>
    </w:p>
    <w:p>
      <w:pPr>
        <w:pStyle w:val="Normal"/>
      </w:pPr>
      <w:r>
        <w:t xml:space="preserve">these lost customizations, they are not doing there jobs—and as the one who deleted their </w:t>
      </w:r>
    </w:p>
    <w:p>
      <w:pPr>
        <w:pStyle w:val="Normal"/>
      </w:pPr>
      <w:r>
        <w:t xml:space="preserve">profiles, it’s your fault! </w:t>
      </w:r>
    </w:p>
    <w:p>
      <w:pPr>
        <w:pStyle w:val="Para 25"/>
      </w:pPr>
      <w:r>
        <w:t/>
      </w:r>
    </w:p>
    <w:p>
      <w:pPr>
        <w:pStyle w:val="Normal"/>
      </w:pPr>
      <w:r>
        <w:t xml:space="preserve">Is there problem with an individual application? Try removing just these applications’ registry </w:t>
      </w:r>
    </w:p>
    <w:p>
      <w:pPr>
        <w:pStyle w:val="Normal"/>
      </w:pPr>
      <w:r>
        <w:t xml:space="preserve">settings or try deleting the application data folder from the user profile. If you determine that it is </w:t>
      </w:r>
    </w:p>
    <w:p>
      <w:pPr>
        <w:pStyle w:val="Normal"/>
      </w:pPr>
      <w:r>
        <w:t xml:space="preserve">necessary to delete a user’s profile, it is usually sufficient to simply delete the user’s registry settings (Ntuser.dat). Better yet, simply rename the file so that it can be easily recovered if it </w:t>
      </w:r>
    </w:p>
    <w:p>
      <w:pPr>
        <w:pStyle w:val="Normal"/>
      </w:pPr>
      <w:r>
        <w:t xml:space="preserve">turns out not to be the problem. </w:t>
      </w:r>
    </w:p>
    <w:p>
      <w:pPr>
        <w:pStyle w:val="Para 25"/>
      </w:pPr>
      <w:r>
        <w:t/>
      </w:r>
    </w:p>
    <w:p>
      <w:pPr>
        <w:pStyle w:val="Para 07"/>
      </w:pPr>
      <w:r>
        <w:t xml:space="preserve">Unable to Load Profile </w:t>
      </w:r>
    </w:p>
    <w:p>
      <w:pPr>
        <w:pStyle w:val="Normal"/>
      </w:pPr>
      <w:r>
        <w:t xml:space="preserve">If the problem is that a user is receiving an error and is unable to load the user profile, the </w:t>
      </w:r>
    </w:p>
    <w:p>
      <w:pPr>
        <w:pStyle w:val="Normal"/>
      </w:pPr>
      <w:r>
        <w:t xml:space="preserve">troublemaker could be one of the following: </w:t>
      </w:r>
    </w:p>
    <w:p>
      <w:pPr>
        <w:pStyle w:val="Para 25"/>
      </w:pPr>
      <w:r>
        <w:t/>
      </w:r>
    </w:p>
    <w:p>
      <w:pPr>
        <w:pStyle w:val="Para 04"/>
      </w:pPr>
      <w:r>
        <w:t xml:space="preserve">• </w:t>
        <w:t xml:space="preserve">Permission on the %SystemRoot%\Profiles directory has been modified; the Everyone </w:t>
      </w:r>
    </w:p>
    <w:p>
      <w:pPr>
        <w:pStyle w:val="Para 01"/>
      </w:pPr>
      <w:r>
        <w:t xml:space="preserve">group requires Full Control of this folder to load profiles. </w:t>
      </w:r>
    </w:p>
    <w:p>
      <w:pPr>
        <w:pStyle w:val="Para 25"/>
      </w:pPr>
      <w:r>
        <w:t/>
      </w:r>
    </w:p>
    <w:p>
      <w:pPr>
        <w:pStyle w:val="Para 04"/>
      </w:pPr>
      <w:r>
        <w:t xml:space="preserve">• </w:t>
        <w:t xml:space="preserve">Not enough drive space or a registry size limit has been exceeded—a user profile will fail </w:t>
      </w:r>
    </w:p>
    <w:p>
      <w:pPr>
        <w:pStyle w:val="Para 01"/>
      </w:pPr>
      <w:r>
        <w:t xml:space="preserve">to load if either is true. </w:t>
      </w:r>
    </w:p>
    <w:p>
      <w:pPr>
        <w:pStyle w:val="Para 25"/>
      </w:pPr>
      <w:r>
        <w:t/>
      </w:r>
    </w:p>
    <w:p>
      <w:pPr>
        <w:pStyle w:val="Para 04"/>
      </w:pPr>
      <w:r>
        <w:t xml:space="preserve">• </w:t>
        <w:t xml:space="preserve">If the local or roaming copy of Ntuser.dat (or .man) is corrupted, an error will occur and </w:t>
      </w:r>
    </w:p>
    <w:p>
      <w:pPr>
        <w:pStyle w:val="Para 01"/>
      </w:pPr>
      <w:r>
        <w:t xml:space="preserve">the profile will fail to load. </w:t>
      </w:r>
    </w:p>
    <w:p>
      <w:pPr>
        <w:pStyle w:val="Para 25"/>
      </w:pPr>
      <w:r>
        <w:t/>
      </w:r>
    </w:p>
    <w:p>
      <w:pPr>
        <w:pStyle w:val="Para 02"/>
      </w:pPr>
      <w:r>
        <w:t xml:space="preserve">Win2K and Windows Server 2003 include support for Microsoft Encrypted File System (EFS) but </w:t>
      </w:r>
    </w:p>
    <w:p>
      <w:pPr>
        <w:pStyle w:val="Para 02"/>
      </w:pPr>
      <w:r>
        <w:t xml:space="preserve">neither supports the use of EFS within roaming user profiles.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12" name="index-92_1.png" descr="index-92_1.png"/>
            <wp:cNvGraphicFramePr>
              <a:graphicFrameLocks noChangeAspect="1"/>
            </wp:cNvGraphicFramePr>
            <a:graphic>
              <a:graphicData uri="http://schemas.openxmlformats.org/drawingml/2006/picture">
                <pic:pic>
                  <pic:nvPicPr>
                    <pic:cNvPr id="0" name="index-92_1.png" descr="index-92_1.png"/>
                    <pic:cNvPicPr/>
                  </pic:nvPicPr>
                  <pic:blipFill>
                    <a:blip r:embed="rId21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13" name="index-92_2.png" descr="index-92_2.png"/>
            <wp:cNvGraphicFramePr>
              <a:graphicFrameLocks noChangeAspect="1"/>
            </wp:cNvGraphicFramePr>
            <a:graphic>
              <a:graphicData uri="http://schemas.openxmlformats.org/drawingml/2006/picture">
                <pic:pic>
                  <pic:nvPicPr>
                    <pic:cNvPr id="0" name="index-92_2.png" descr="index-92_2.png"/>
                    <pic:cNvPicPr/>
                  </pic:nvPicPr>
                  <pic:blipFill>
                    <a:blip r:embed="rId217"/>
                    <a:stretch>
                      <a:fillRect/>
                    </a:stretch>
                  </pic:blipFill>
                  <pic:spPr>
                    <a:xfrm>
                      <a:off x="0" y="0"/>
                      <a:ext cx="914400" cy="444500"/>
                    </a:xfrm>
                    <a:prstGeom prst="rect">
                      <a:avLst/>
                    </a:prstGeom>
                  </pic:spPr>
                </pic:pic>
              </a:graphicData>
            </a:graphic>
          </wp:anchor>
        </w:drawing>
      </w:r>
    </w:p>
    <w:p>
      <w:pPr>
        <w:pStyle w:val="0 Block"/>
      </w:pPr>
    </w:p>
    <w:p>
      <w:bookmarkStart w:id="97" w:name="Chapter_3_29"/>
      <w:pPr>
        <w:pStyle w:val="Heading 1"/>
        <w:pageBreakBefore w:val="on"/>
      </w:pPr>
      <w:r>
        <w:t>Chapter 3</w:t>
      </w:r>
      <w:bookmarkEnd w:id="97"/>
    </w:p>
    <w:p>
      <w:pPr>
        <w:pStyle w:val="Para 25"/>
      </w:pPr>
      <w:r>
        <w:t/>
      </w:r>
    </w:p>
    <w:p>
      <w:pPr>
        <w:pStyle w:val="Para 07"/>
      </w:pPr>
      <w:r>
        <w:t xml:space="preserve">Troubleshooting Profile Problems with UserEnv.log </w:t>
      </w:r>
    </w:p>
    <w:p>
      <w:pPr>
        <w:pStyle w:val="Normal"/>
      </w:pPr>
      <w:r>
        <w:t xml:space="preserve">The UserEnv.log file is a very helpful tool for troubleshooting the process of loading and </w:t>
      </w:r>
    </w:p>
    <w:p>
      <w:pPr>
        <w:pStyle w:val="Normal"/>
      </w:pPr>
      <w:r>
        <w:t xml:space="preserve">unloading user profiles. Each step in the user profile process is identified in this log file, </w:t>
      </w:r>
    </w:p>
    <w:p>
      <w:pPr>
        <w:pStyle w:val="Normal"/>
      </w:pPr>
      <w:r>
        <w:t xml:space="preserve">including informational and error messages. </w:t>
      </w:r>
    </w:p>
    <w:p>
      <w:pPr>
        <w:pStyle w:val="Para 25"/>
      </w:pPr>
      <w:r>
        <w:t/>
      </w:r>
    </w:p>
    <w:p>
      <w:pPr>
        <w:pStyle w:val="Normal"/>
      </w:pPr>
      <w:r>
        <w:t xml:space="preserve">Support for logging is built into Win2K and later. Simply make the following registry edit to enable logging: </w:t>
      </w:r>
    </w:p>
    <w:p>
      <w:pPr>
        <w:pStyle w:val="Para 25"/>
      </w:pPr>
      <w:r>
        <w:t/>
      </w:r>
    </w:p>
    <w:p>
      <w:pPr>
        <w:pStyle w:val="Para 03"/>
      </w:pPr>
      <w:r>
        <w:t xml:space="preserve">Key </w:t>
      </w:r>
      <w:r>
        <w:rPr>
          <w:rStyle w:val="Text2"/>
        </w:rPr>
        <w:t xml:space="preserve"> </w:t>
      </w:r>
      <w:r>
        <w:t>HKEY_LOCAL_MACHINE\SOFTWARE\Microsoft\Windows</w:t>
      </w:r>
    </w:p>
    <w:p>
      <w:pPr>
        <w:pStyle w:val="Para 11"/>
      </w:pPr>
      <w:r>
        <w:t xml:space="preserve">NT\CurrentVersion\Winlogon </w:t>
      </w:r>
    </w:p>
    <w:p>
      <w:pPr>
        <w:pStyle w:val="Para 03"/>
      </w:pPr>
      <w:r>
        <w:t xml:space="preserve">Value UserEnvDebugLevel </w:t>
      </w:r>
    </w:p>
    <w:p>
      <w:pPr>
        <w:pStyle w:val="Para 03"/>
      </w:pPr>
      <w:r>
        <w:t xml:space="preserve">Type REG_DWORD </w:t>
      </w:r>
    </w:p>
    <w:p>
      <w:pPr>
        <w:pStyle w:val="Para 03"/>
      </w:pPr>
      <w:r>
        <w:t xml:space="preserve">Data 10002 </w:t>
        <w:t xml:space="preserve">(Hexadecimal) </w:t>
      </w:r>
    </w:p>
    <w:p>
      <w:pPr>
        <w:pStyle w:val="Para 25"/>
      </w:pPr>
      <w:r>
        <w:t/>
      </w:r>
    </w:p>
    <w:p>
      <w:pPr>
        <w:pStyle w:val="Normal"/>
      </w:pPr>
      <w:r>
        <w:t xml:space="preserve">For NT, there is another version of the UserEnv.dll file, referred to as the “checked” version, which is identical to the retail version except that it contains debug flags that you can set and use </w:t>
      </w:r>
    </w:p>
    <w:p>
      <w:pPr>
        <w:pStyle w:val="Normal"/>
      </w:pPr>
      <w:r>
        <w:t xml:space="preserve">with the kernel debugger. You can obtain the checked version of this file in either the NT Device </w:t>
      </w:r>
    </w:p>
    <w:p>
      <w:pPr>
        <w:pStyle w:val="Normal"/>
      </w:pPr>
      <w:r>
        <w:t xml:space="preserve">Driver Kit (DDK) or the NT SDK. In addition to using this version of the UserEnv.dll, you must also set a registry entry. To enable UserEnv.log in NT, perform the following actions: </w:t>
      </w:r>
    </w:p>
    <w:p>
      <w:pPr>
        <w:pStyle w:val="Para 25"/>
      </w:pPr>
      <w:r>
        <w:t/>
      </w:r>
    </w:p>
    <w:p>
      <w:pPr>
        <w:pStyle w:val="Para 04"/>
      </w:pPr>
      <w:r>
        <w:rPr>
          <w:rStyle w:val="Text1"/>
        </w:rPr>
        <w:t xml:space="preserve">34. </w:t>
      </w:r>
      <w:r>
        <w:t xml:space="preserve">Rename the file UserEnv.dll in the %systemroot%\System32 folder to Userenv.old. </w:t>
      </w:r>
    </w:p>
    <w:p>
      <w:pPr>
        <w:pStyle w:val="Para 25"/>
      </w:pPr>
      <w:r>
        <w:t/>
      </w:r>
    </w:p>
    <w:p>
      <w:pPr>
        <w:pStyle w:val="Para 04"/>
      </w:pPr>
      <w:r>
        <w:rPr>
          <w:rStyle w:val="Text1"/>
        </w:rPr>
        <w:t xml:space="preserve">35. </w:t>
      </w:r>
      <w:r>
        <w:t xml:space="preserve">For the client machine to be debugged, copy the checked version of UserEnv.dll to the </w:t>
      </w:r>
    </w:p>
    <w:p>
      <w:pPr>
        <w:pStyle w:val="Para 01"/>
      </w:pPr>
      <w:r>
        <w:t xml:space="preserve">%systemroot%\System32 folder. </w:t>
      </w:r>
    </w:p>
    <w:p>
      <w:pPr>
        <w:pStyle w:val="Para 25"/>
      </w:pPr>
      <w:r>
        <w:t/>
      </w:r>
    </w:p>
    <w:p>
      <w:pPr>
        <w:pStyle w:val="Para 04"/>
      </w:pPr>
      <w:r>
        <w:rPr>
          <w:rStyle w:val="Text1"/>
        </w:rPr>
        <w:t xml:space="preserve">36. </w:t>
      </w:r>
      <w:r>
        <w:t xml:space="preserve">In the registry editor, add the following registry value and reboot the system: </w:t>
      </w:r>
    </w:p>
    <w:p>
      <w:pPr>
        <w:pStyle w:val="Para 25"/>
      </w:pPr>
      <w:r>
        <w:t/>
      </w:r>
    </w:p>
    <w:p>
      <w:pPr>
        <w:pStyle w:val="Para 03"/>
      </w:pPr>
      <w:r>
        <w:t xml:space="preserve">Key </w:t>
      </w:r>
      <w:r>
        <w:rPr>
          <w:rStyle w:val="Text2"/>
        </w:rPr>
        <w:t xml:space="preserve"> </w:t>
      </w:r>
      <w:r>
        <w:t>HKEY_LOCAL_MACHINE\SOFTWARE\Microsoft\Windows</w:t>
      </w:r>
    </w:p>
    <w:p>
      <w:pPr>
        <w:pStyle w:val="Para 11"/>
      </w:pPr>
      <w:r>
        <w:t xml:space="preserve">NT\CurrentVersion\Winlogon </w:t>
      </w:r>
    </w:p>
    <w:p>
      <w:pPr>
        <w:pStyle w:val="Para 03"/>
      </w:pPr>
      <w:r>
        <w:t xml:space="preserve">Value UserEnvDebugLevel </w:t>
      </w:r>
    </w:p>
    <w:p>
      <w:pPr>
        <w:pStyle w:val="Para 03"/>
      </w:pPr>
      <w:r>
        <w:t xml:space="preserve">Type REG_DWORD </w:t>
      </w:r>
    </w:p>
    <w:p>
      <w:pPr>
        <w:pStyle w:val="Para 03"/>
      </w:pPr>
      <w:r>
        <w:t xml:space="preserve">Data 10002 </w:t>
        <w:t xml:space="preserve">(Hexadecimal) </w:t>
      </w:r>
    </w:p>
    <w:p>
      <w:pPr>
        <w:pStyle w:val="Para 25"/>
      </w:pPr>
      <w:r>
        <w:t/>
      </w:r>
    </w:p>
    <w:p>
      <w:pPr>
        <w:pStyle w:val="Para 02"/>
      </w:pPr>
      <w:r>
        <w:t xml:space="preserve">The UserEnv.log file is created in the root directory of the C drive. This file is a simple text file that you </w:t>
      </w:r>
    </w:p>
    <w:p>
      <w:pPr>
        <w:pStyle w:val="Para 02"/>
      </w:pPr>
      <w:r>
        <w:t xml:space="preserve">can view using a text file viewer. On Windows XP systems, the log file is created at </w:t>
      </w:r>
    </w:p>
    <w:p>
      <w:pPr>
        <w:pStyle w:val="Para 02"/>
      </w:pPr>
      <w:r>
        <w:t xml:space="preserve">%WinDir%\Debug\UserMode\UserEnv.log. </w:t>
      </w:r>
    </w:p>
    <w:p>
      <w:pPr>
        <w:pStyle w:val="Para 25"/>
      </w:pPr>
      <w:r>
        <w:t/>
      </w:r>
    </w:p>
    <w:p>
      <w:pPr>
        <w:pStyle w:val="Normal"/>
      </w:pPr>
      <w:r>
        <w:t xml:space="preserve">Listing 3.1 shows a sample log output from UserEnv.log on a Windows XP Pro computer. </w:t>
      </w:r>
    </w:p>
    <w:p>
      <w:pPr>
        <w:pStyle w:val="Para 25"/>
      </w:pPr>
      <w:r>
        <w:t/>
      </w:r>
    </w:p>
    <w:p>
      <w:pPr>
        <w:pStyle w:val="Para 03"/>
      </w:pPr>
      <w:r>
        <w:t xml:space="preserve">USERENV(298.d0) 20:38:49:639 PingComputer: Adapter speed 100000000 bps </w:t>
        <w:t xml:space="preserve">USERENV(298.d0) 20:38:49:639 PingComputer: First time: 0 </w:t>
        <w:t xml:space="preserve">USERENV(298.d0) 20:38:49:649 PingComputer: Fast link. Exiting. </w:t>
        <w:t xml:space="preserve">USERENV(298.d0) 20:38:56:981 ProcessGPOs: network name is </w:t>
        <w:t xml:space="preserve">mindspring.com </w:t>
      </w:r>
    </w:p>
    <w:p>
      <w:pPr>
        <w:pStyle w:val="Para 03"/>
      </w:pPr>
      <w:r>
        <w:t xml:space="preserve">USERENV(298.d0) 20:39:04:252 ProcessGPOs: Computer Group Policy has </w:t>
        <w:t xml:space="preserve">been applied. </w:t>
      </w:r>
    </w:p>
    <w:p>
      <w:pPr>
        <w:pStyle w:val="Para 03"/>
      </w:pPr>
      <w:r>
        <w:t xml:space="preserve">USERENV(298.d0) 20:39:04:252 ProcessGPOs: Leaving with 0. </w:t>
        <w:t xml:space="preserve">USERENV(298.d0) 20:39:04:262 EnterCriticalPolicySection: Machine </w:t>
        <w:t xml:space="preserve">critical section has been claimed. Handle = 0x110 </w:t>
        <w:t xml:space="preserve">USERENV(298.d0) 20:39:07:867 LeaveCriticalPolicySection: Critical </w:t>
        <w:t xml:space="preserve">section 0x110 has been released.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14" name="index-93_1.png" descr="index-93_1.png"/>
            <wp:cNvGraphicFramePr>
              <a:graphicFrameLocks noChangeAspect="1"/>
            </wp:cNvGraphicFramePr>
            <a:graphic>
              <a:graphicData uri="http://schemas.openxmlformats.org/drawingml/2006/picture">
                <pic:pic>
                  <pic:nvPicPr>
                    <pic:cNvPr id="0" name="index-93_1.png" descr="index-93_1.png"/>
                    <pic:cNvPicPr/>
                  </pic:nvPicPr>
                  <pic:blipFill>
                    <a:blip r:embed="rId21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15" name="index-93_2.png" descr="index-93_2.png"/>
            <wp:cNvGraphicFramePr>
              <a:graphicFrameLocks noChangeAspect="1"/>
            </wp:cNvGraphicFramePr>
            <a:graphic>
              <a:graphicData uri="http://schemas.openxmlformats.org/drawingml/2006/picture">
                <pic:pic>
                  <pic:nvPicPr>
                    <pic:cNvPr id="0" name="index-93_2.png" descr="index-93_2.png"/>
                    <pic:cNvPicPr/>
                  </pic:nvPicPr>
                  <pic:blipFill>
                    <a:blip r:embed="rId219"/>
                    <a:stretch>
                      <a:fillRect/>
                    </a:stretch>
                  </pic:blipFill>
                  <pic:spPr>
                    <a:xfrm>
                      <a:off x="0" y="0"/>
                      <a:ext cx="914400" cy="444500"/>
                    </a:xfrm>
                    <a:prstGeom prst="rect">
                      <a:avLst/>
                    </a:prstGeom>
                  </pic:spPr>
                </pic:pic>
              </a:graphicData>
            </a:graphic>
          </wp:anchor>
        </w:drawing>
      </w:r>
    </w:p>
    <w:p>
      <w:pPr>
        <w:pStyle w:val="0 Block"/>
      </w:pPr>
    </w:p>
    <w:p>
      <w:bookmarkStart w:id="98" w:name="Chapter_3_30"/>
      <w:pPr>
        <w:pStyle w:val="Heading 1"/>
        <w:pageBreakBefore w:val="on"/>
      </w:pPr>
      <w:r>
        <w:t>Chapter 3</w:t>
      </w:r>
      <w:bookmarkEnd w:id="98"/>
    </w:p>
    <w:p>
      <w:pPr>
        <w:pStyle w:val="Para 25"/>
      </w:pPr>
      <w:r>
        <w:t/>
      </w:r>
    </w:p>
    <w:p>
      <w:pPr>
        <w:pStyle w:val="Para 03"/>
      </w:pPr>
      <w:r>
        <w:t xml:space="preserve">USERENV(298.d0) 20:39:07:877 GPOThread: Next refresh will happen in </w:t>
        <w:t xml:space="preserve">105 minutes </w:t>
      </w:r>
    </w:p>
    <w:p>
      <w:pPr>
        <w:pStyle w:val="Para 25"/>
      </w:pPr>
      <w:r>
        <w:t/>
      </w:r>
    </w:p>
    <w:p>
      <w:pPr>
        <w:pStyle w:val="Para 10"/>
      </w:pPr>
      <w:r>
        <w:t xml:space="preserve">Listing 3.1: Sample log output from UserEnv.log on a Windows XP Pro system. </w:t>
      </w:r>
    </w:p>
    <w:p>
      <w:pPr>
        <w:pStyle w:val="Para 25"/>
      </w:pPr>
      <w:r>
        <w:t/>
      </w:r>
    </w:p>
    <w:p>
      <w:pPr>
        <w:pStyle w:val="Para 07"/>
      </w:pPr>
      <w:r>
        <w:t xml:space="preserve">Using Profiles with Multiple Versions of Windows </w:t>
      </w:r>
    </w:p>
    <w:p>
      <w:pPr>
        <w:pStyle w:val="Normal"/>
      </w:pPr>
      <w:r>
        <w:t xml:space="preserve">With roaming profiles, users are not restricted from logging onto computers running different </w:t>
      </w:r>
    </w:p>
    <w:p>
      <w:pPr>
        <w:pStyle w:val="Normal"/>
      </w:pPr>
      <w:r>
        <w:t xml:space="preserve">versions of Windows. However, NT user profiles are not compatible with Win2K systems A Win2K server can act as a repository for any type of profile, even an NT profile, but the system </w:t>
      </w:r>
    </w:p>
    <w:p>
      <w:pPr>
        <w:pStyle w:val="Normal"/>
      </w:pPr>
      <w:r>
        <w:t xml:space="preserve">will not load an NT user profile, nor will an NT system load a Win2K user profile. One way to </w:t>
      </w:r>
    </w:p>
    <w:p>
      <w:pPr>
        <w:pStyle w:val="Normal"/>
      </w:pPr>
      <w:r>
        <w:t xml:space="preserve">maintain roaming profiles on a network that has both NT and Win2K systems is to provide different accounts for logging onto each system. </w:t>
      </w:r>
    </w:p>
    <w:p>
      <w:pPr>
        <w:pStyle w:val="Para 25"/>
      </w:pPr>
      <w:r>
        <w:t/>
      </w:r>
    </w:p>
    <w:p>
      <w:pPr>
        <w:pStyle w:val="Normal"/>
      </w:pPr>
      <w:r>
        <w:t xml:space="preserve">Windows 9x profiles are not compatible with NT systems At first glance, the folder structure </w:t>
      </w:r>
    </w:p>
    <w:p>
      <w:pPr>
        <w:pStyle w:val="Normal"/>
      </w:pPr>
      <w:r>
        <w:t xml:space="preserve">might look similar, but the incompatibility lies in the registry structure contained in the registry </w:t>
      </w:r>
    </w:p>
    <w:p>
      <w:pPr>
        <w:pStyle w:val="Normal"/>
      </w:pPr>
      <w:r>
        <w:t xml:space="preserve">hive (User.dat and Ntuser.dat) files. The registry structures are completely incompatible between Windows 9x and NT. It is recommended that profiles for each of these OSs be stored in their </w:t>
      </w:r>
    </w:p>
    <w:p>
      <w:pPr>
        <w:pStyle w:val="Normal"/>
      </w:pPr>
      <w:r>
        <w:t xml:space="preserve">own location. This implementation is fairly easy to configure and manage as Windows 9x </w:t>
      </w:r>
    </w:p>
    <w:p>
      <w:pPr>
        <w:pStyle w:val="Normal"/>
      </w:pPr>
      <w:r>
        <w:t xml:space="preserve">profiles are stored in the user home directory, and NT profiles locations are specified in the user account profile itself. </w:t>
      </w:r>
    </w:p>
    <w:p>
      <w:pPr>
        <w:pStyle w:val="Para 25"/>
      </w:pPr>
      <w:r>
        <w:t/>
      </w:r>
    </w:p>
    <w:p>
      <w:pPr>
        <w:pStyle w:val="Para 09"/>
      </w:pPr>
      <w:r>
        <w:t xml:space="preserve">Hard-Coded Profile Paths </w:t>
      </w:r>
    </w:p>
    <w:p>
      <w:pPr>
        <w:pStyle w:val="Para 25"/>
      </w:pPr>
      <w:r>
        <w:t/>
      </w:r>
    </w:p>
    <w:p>
      <w:pPr>
        <w:pStyle w:val="Normal"/>
      </w:pPr>
      <w:r>
        <w:t xml:space="preserve">Since NT, the %UserProfile% environment variable has been available as a reliable means of addressing the user profile directory. Despite this, some applications look to the </w:t>
      </w:r>
    </w:p>
    <w:p>
      <w:pPr>
        <w:pStyle w:val="Normal"/>
      </w:pPr>
      <w:r>
        <w:t xml:space="preserve">%SystemRoot%\Profiles folder for user profiles. Because this had been the location of the user </w:t>
      </w:r>
    </w:p>
    <w:p>
      <w:pPr>
        <w:pStyle w:val="Normal"/>
      </w:pPr>
      <w:r>
        <w:t xml:space="preserve">profile up until Win2K, it was not uncommon for software developers to assume this location. </w:t>
      </w:r>
    </w:p>
    <w:p>
      <w:pPr>
        <w:pStyle w:val="Normal"/>
      </w:pPr>
      <w:r>
        <w:t xml:space="preserve">As a result, situations might arise in which a user logs onto NT without problems, but when logging onto Win2K, encounter a problem as a result of a hard-coded, invalid path. </w:t>
      </w:r>
    </w:p>
    <w:p>
      <w:pPr>
        <w:pStyle w:val="Para 25"/>
      </w:pPr>
      <w:r>
        <w:t/>
      </w:r>
    </w:p>
    <w:p>
      <w:pPr>
        <w:pStyle w:val="Para 09"/>
      </w:pPr>
      <w:r>
        <w:t xml:space="preserve">System and Group Policy Assignments </w:t>
      </w:r>
    </w:p>
    <w:p>
      <w:pPr>
        <w:pStyle w:val="Para 25"/>
      </w:pPr>
      <w:r>
        <w:t/>
      </w:r>
    </w:p>
    <w:p>
      <w:pPr>
        <w:pStyle w:val="Normal"/>
      </w:pPr>
      <w:r>
        <w:t xml:space="preserve">NT enforces settings across the domain through System Policies. These settings are cached as part of the user’s profile. Win2K enforces settings across the domain using (GPOs), which are </w:t>
      </w:r>
    </w:p>
    <w:p>
      <w:pPr>
        <w:pStyle w:val="Normal"/>
      </w:pPr>
      <w:r>
        <w:t xml:space="preserve">added to the user’s registry settings at HKEY_CURRENT_USER\Software\Policies, and </w:t>
      </w:r>
    </w:p>
    <w:p>
      <w:pPr>
        <w:pStyle w:val="Normal"/>
      </w:pPr>
      <w:r>
        <w:t xml:space="preserve">Windows looks to this location for settings to be enforced on a user (overriding what may be contradicting settings elsewhere in the registry). If users log onto an NT system and have System </w:t>
      </w:r>
    </w:p>
    <w:p>
      <w:pPr>
        <w:pStyle w:val="Normal"/>
      </w:pPr>
      <w:r>
        <w:t xml:space="preserve">Policies applied, then log onto a Win2K system and have GPOs applied, no technical limitation </w:t>
      </w:r>
    </w:p>
    <w:p>
      <w:pPr>
        <w:pStyle w:val="Normal"/>
      </w:pPr>
      <w:r>
        <w:t xml:space="preserve">exists to prevent such a situation. However, the inclusion of both settings in the user’s registry </w:t>
      </w:r>
    </w:p>
    <w:p>
      <w:pPr>
        <w:pStyle w:val="Normal"/>
      </w:pPr>
      <w:r>
        <w:t>settings might increase its size.</w:t>
      </w:r>
    </w:p>
    <w:p>
      <w:pPr>
        <w:pStyle w:val="Para 25"/>
      </w:pPr>
      <w:r>
        <w:t/>
      </w:r>
    </w:p>
    <w:p>
      <w:pPr>
        <w:pStyle w:val="Para 02"/>
      </w:pPr>
      <w:r>
        <w:t xml:space="preserve">By default, NT calculates the registry size as 25 percent of the paged pool. The default page pool size </w:t>
      </w:r>
    </w:p>
    <w:p>
      <w:pPr>
        <w:pStyle w:val="Para 02"/>
      </w:pPr>
      <w:r>
        <w:t xml:space="preserve">is approximately equal to the amount of RAM. The maximum registry size is 152MB (80 percent of </w:t>
      </w:r>
    </w:p>
    <w:p>
      <w:pPr>
        <w:pStyle w:val="Para 02"/>
      </w:pPr>
      <w:r>
        <w:t xml:space="preserve">the paged pool, which is limited to 192MB). With Win2K, the default registry size limit is 33 percent of </w:t>
      </w:r>
    </w:p>
    <w:p>
      <w:pPr>
        <w:pStyle w:val="Para 02"/>
      </w:pPr>
      <w:r>
        <w:t xml:space="preserve">the size of the paged pool with the same maximum of 80 percent of the paged pool allowed. In </w:t>
      </w:r>
    </w:p>
    <w:p>
      <w:pPr>
        <w:pStyle w:val="Para 02"/>
      </w:pPr>
      <w:r>
        <w:t xml:space="preserve">Windows XP and Windows Server 2003, the registry files are mapped in the computer cache address </w:t>
      </w:r>
    </w:p>
    <w:p>
      <w:pPr>
        <w:pStyle w:val="Para 02"/>
      </w:pPr>
      <w:r>
        <w:t xml:space="preserve">space. Therefore, regardless of the size of the registry data, it is not charged more than 4MB. There </w:t>
      </w:r>
    </w:p>
    <w:p>
      <w:pPr>
        <w:pStyle w:val="Para 02"/>
      </w:pPr>
      <w:r>
        <w:t xml:space="preserve">are no longer any explicit limits on the total amount of space that can be consumed by hives in paged </w:t>
      </w:r>
    </w:p>
    <w:p>
      <w:pPr>
        <w:pStyle w:val="Para 02"/>
      </w:pPr>
      <w:r>
        <w:t xml:space="preserve">pool memory and in disk space.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16" name="index-94_1.png" descr="index-94_1.png"/>
            <wp:cNvGraphicFramePr>
              <a:graphicFrameLocks noChangeAspect="1"/>
            </wp:cNvGraphicFramePr>
            <a:graphic>
              <a:graphicData uri="http://schemas.openxmlformats.org/drawingml/2006/picture">
                <pic:pic>
                  <pic:nvPicPr>
                    <pic:cNvPr id="0" name="index-94_1.png" descr="index-94_1.png"/>
                    <pic:cNvPicPr/>
                  </pic:nvPicPr>
                  <pic:blipFill>
                    <a:blip r:embed="rId22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17" name="index-94_2.png" descr="index-94_2.png"/>
            <wp:cNvGraphicFramePr>
              <a:graphicFrameLocks noChangeAspect="1"/>
            </wp:cNvGraphicFramePr>
            <a:graphic>
              <a:graphicData uri="http://schemas.openxmlformats.org/drawingml/2006/picture">
                <pic:pic>
                  <pic:nvPicPr>
                    <pic:cNvPr id="0" name="index-94_2.png" descr="index-94_2.png"/>
                    <pic:cNvPicPr/>
                  </pic:nvPicPr>
                  <pic:blipFill>
                    <a:blip r:embed="rId221"/>
                    <a:stretch>
                      <a:fillRect/>
                    </a:stretch>
                  </pic:blipFill>
                  <pic:spPr>
                    <a:xfrm>
                      <a:off x="0" y="0"/>
                      <a:ext cx="914400" cy="444500"/>
                    </a:xfrm>
                    <a:prstGeom prst="rect">
                      <a:avLst/>
                    </a:prstGeom>
                  </pic:spPr>
                </pic:pic>
              </a:graphicData>
            </a:graphic>
          </wp:anchor>
        </w:drawing>
      </w:r>
    </w:p>
    <w:p>
      <w:pPr>
        <w:pStyle w:val="0 Block"/>
      </w:pPr>
    </w:p>
    <w:p>
      <w:bookmarkStart w:id="99" w:name="Chapter_3_31"/>
      <w:pPr>
        <w:pStyle w:val="Heading 1"/>
        <w:pageBreakBefore w:val="on"/>
      </w:pPr>
      <w:r>
        <w:t>Chapter 3</w:t>
      </w:r>
      <w:bookmarkEnd w:id="99"/>
    </w:p>
    <w:p>
      <w:pPr>
        <w:pStyle w:val="Para 25"/>
      </w:pPr>
      <w:r>
        <w:t/>
      </w:r>
    </w:p>
    <w:p>
      <w:pPr>
        <w:pStyle w:val="Para 12"/>
      </w:pPr>
      <w:r>
        <w:t xml:space="preserve">Summary </w:t>
      </w:r>
    </w:p>
    <w:p>
      <w:pPr>
        <w:pStyle w:val="Para 25"/>
      </w:pPr>
      <w:r>
        <w:t/>
      </w:r>
    </w:p>
    <w:p>
      <w:pPr>
        <w:pStyle w:val="Normal"/>
      </w:pPr>
      <w:r>
        <w:t xml:space="preserve">In this chapter, we have discussed the user profile—its use and benefits. We covered the multiple </w:t>
      </w:r>
    </w:p>
    <w:p>
      <w:pPr>
        <w:pStyle w:val="Normal"/>
      </w:pPr>
      <w:r>
        <w:t xml:space="preserve">types of profiles and the configuration of a custom default user profile. I discussed problems to </w:t>
      </w:r>
    </w:p>
    <w:p>
      <w:pPr>
        <w:pStyle w:val="Normal"/>
      </w:pPr>
      <w:r>
        <w:t xml:space="preserve">avoid when using roaming profiles as well as ways to reduce their size through quotas and folder redirection. In the next chapter, we will explore another major part of establishing your users’ </w:t>
      </w:r>
    </w:p>
    <w:p>
      <w:pPr>
        <w:pStyle w:val="Normal"/>
      </w:pPr>
      <w:r>
        <w:t>work environment: deploying and upgrading the applications themselves.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18" name="index-95_1.png" descr="index-95_1.png"/>
            <wp:cNvGraphicFramePr>
              <a:graphicFrameLocks noChangeAspect="1"/>
            </wp:cNvGraphicFramePr>
            <a:graphic>
              <a:graphicData uri="http://schemas.openxmlformats.org/drawingml/2006/picture">
                <pic:pic>
                  <pic:nvPicPr>
                    <pic:cNvPr id="0" name="index-95_1.png" descr="index-95_1.png"/>
                    <pic:cNvPicPr/>
                  </pic:nvPicPr>
                  <pic:blipFill>
                    <a:blip r:embed="rId22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19" name="index-95_2.png" descr="index-95_2.png"/>
            <wp:cNvGraphicFramePr>
              <a:graphicFrameLocks noChangeAspect="1"/>
            </wp:cNvGraphicFramePr>
            <a:graphic>
              <a:graphicData uri="http://schemas.openxmlformats.org/drawingml/2006/picture">
                <pic:pic>
                  <pic:nvPicPr>
                    <pic:cNvPr id="0" name="index-95_2.png" descr="index-95_2.png"/>
                    <pic:cNvPicPr/>
                  </pic:nvPicPr>
                  <pic:blipFill>
                    <a:blip r:embed="rId223"/>
                    <a:stretch>
                      <a:fillRect/>
                    </a:stretch>
                  </pic:blipFill>
                  <pic:spPr>
                    <a:xfrm>
                      <a:off x="0" y="0"/>
                      <a:ext cx="914400" cy="444500"/>
                    </a:xfrm>
                    <a:prstGeom prst="rect">
                      <a:avLst/>
                    </a:prstGeom>
                  </pic:spPr>
                </pic:pic>
              </a:graphicData>
            </a:graphic>
          </wp:anchor>
        </w:drawing>
      </w:r>
    </w:p>
    <w:p>
      <w:pPr>
        <w:pStyle w:val="0 Block"/>
      </w:pPr>
    </w:p>
    <w:p>
      <w:bookmarkStart w:id="100" w:name="Chapter_4"/>
      <w:pPr>
        <w:pStyle w:val="Heading 1"/>
        <w:pageBreakBefore w:val="on"/>
      </w:pPr>
      <w:r>
        <w:t>Chapter 4</w:t>
      </w:r>
      <w:bookmarkEnd w:id="100"/>
    </w:p>
    <w:p>
      <w:pPr>
        <w:pStyle w:val="Para 25"/>
      </w:pPr>
      <w:r>
        <w:t/>
      </w:r>
    </w:p>
    <w:p>
      <w:pPr>
        <w:pStyle w:val="0 Block"/>
      </w:pPr>
    </w:p>
    <w:p>
      <w:bookmarkStart w:id="101" w:name="Chapter_4__Application_Managemen"/>
      <w:pPr>
        <w:pStyle w:val="Para 23"/>
        <w:pageBreakBefore w:val="on"/>
      </w:pPr>
      <w:r>
        <w:t xml:space="preserve">Chapter 4: Application Management </w:t>
      </w:r>
      <w:bookmarkEnd w:id="101"/>
    </w:p>
    <w:p>
      <w:pPr>
        <w:pStyle w:val="Para 25"/>
      </w:pPr>
      <w:r>
        <w:t/>
      </w:r>
    </w:p>
    <w:p>
      <w:pPr>
        <w:pStyle w:val="Normal"/>
      </w:pPr>
      <w:r>
        <w:t xml:space="preserve">In the last chapter, we covered the deployment of new systems. With your baseline identified, </w:t>
      </w:r>
    </w:p>
    <w:p>
      <w:pPr>
        <w:pStyle w:val="Normal"/>
      </w:pPr>
      <w:r>
        <w:t xml:space="preserve">tested, and deployed, you must now work to keep that baseline up to date with the latest updates </w:t>
      </w:r>
    </w:p>
    <w:p>
      <w:pPr>
        <w:pStyle w:val="Normal"/>
      </w:pPr>
      <w:r>
        <w:t xml:space="preserve">and new software requirements. Just keeping Windows itself up to date with service packs and a weekly release of hotfixes is enough to make some a little uneasy. Add to this task requests for </w:t>
      </w:r>
    </w:p>
    <w:p>
      <w:pPr>
        <w:pStyle w:val="Normal"/>
      </w:pPr>
      <w:r>
        <w:t xml:space="preserve">new software and a constant barrage of updates, patches, and new releases for your existing </w:t>
      </w:r>
    </w:p>
    <w:p>
      <w:pPr>
        <w:pStyle w:val="Normal"/>
      </w:pPr>
      <w:r>
        <w:t xml:space="preserve">software base and the need for a planned process and deployment mechanism becomes clear. In </w:t>
      </w:r>
    </w:p>
    <w:p>
      <w:pPr>
        <w:pStyle w:val="Normal"/>
      </w:pPr>
      <w:r>
        <w:t xml:space="preserve">this chapter, we will discuss the creation of a process for deployment as well as the various methods available for the automated installation of software (and the benefits and drawbacks of </w:t>
      </w:r>
    </w:p>
    <w:p>
      <w:pPr>
        <w:pStyle w:val="Normal"/>
      </w:pPr>
      <w:r>
        <w:t xml:space="preserve">each). Finally, we will cover a handful of the available software deployment systems with a </w:t>
      </w:r>
    </w:p>
    <w:p>
      <w:pPr>
        <w:pStyle w:val="Normal"/>
      </w:pPr>
      <w:r>
        <w:t xml:space="preserve">summary of their capabilities. </w:t>
      </w:r>
    </w:p>
    <w:p>
      <w:pPr>
        <w:pStyle w:val="Para 25"/>
      </w:pPr>
      <w:r>
        <w:t/>
      </w:r>
    </w:p>
    <w:p>
      <w:pPr>
        <w:pStyle w:val="Para 12"/>
      </w:pPr>
      <w:r>
        <w:t xml:space="preserve">The Software Deployment Process </w:t>
      </w:r>
    </w:p>
    <w:p>
      <w:pPr>
        <w:pStyle w:val="Para 25"/>
      </w:pPr>
      <w:r>
        <w:t/>
      </w:r>
    </w:p>
    <w:p>
      <w:pPr>
        <w:pStyle w:val="Normal"/>
      </w:pPr>
      <w:r>
        <w:t xml:space="preserve">Establishing a process to follow for the deployment of software is a crucial first step to success. When someone hands you a new application that they want sent to everyone in their office, what </w:t>
      </w:r>
    </w:p>
    <w:p>
      <w:pPr>
        <w:pStyle w:val="Normal"/>
      </w:pPr>
      <w:r>
        <w:t xml:space="preserve">do you do first? Although larger networks demand a more structured process (largely for </w:t>
      </w:r>
    </w:p>
    <w:p>
      <w:pPr>
        <w:pStyle w:val="Normal"/>
      </w:pPr>
      <w:r>
        <w:t xml:space="preserve">accountability), even the smallest of networks should have some sort of approval process. After approval, with which settings should the software be deployed? How should the software be </w:t>
      </w:r>
    </w:p>
    <w:p>
      <w:pPr>
        <w:pStyle w:val="Normal"/>
      </w:pPr>
      <w:r>
        <w:t xml:space="preserve">deployed? Which machines should receive the software? These are all questions for which the </w:t>
      </w:r>
    </w:p>
    <w:p>
      <w:pPr>
        <w:pStyle w:val="Normal"/>
      </w:pPr>
      <w:r>
        <w:t xml:space="preserve">answer should be crystal clear for every release. To realize this goal, a structured process must be in place. </w:t>
      </w:r>
    </w:p>
    <w:p>
      <w:pPr>
        <w:pStyle w:val="Para 25"/>
      </w:pPr>
      <w:r>
        <w:t/>
      </w:r>
    </w:p>
    <w:p>
      <w:pPr>
        <w:pStyle w:val="Normal"/>
      </w:pPr>
      <w:r>
        <w:t xml:space="preserve">Particularly when there are several people involved in software deployment, a process can keep </w:t>
      </w:r>
    </w:p>
    <w:p>
      <w:pPr>
        <w:pStyle w:val="Normal"/>
      </w:pPr>
      <w:r>
        <w:t xml:space="preserve">everyone in the loop with what is going on. This communication is very important when the user </w:t>
      </w:r>
    </w:p>
    <w:p>
      <w:pPr>
        <w:pStyle w:val="Normal"/>
      </w:pPr>
      <w:r>
        <w:t xml:space="preserve">comes back hours later to ask why new software hasn’t appeared on his or her desktop yet. Having a documented process to show the user, even if it is a simple bulleted list, will help the </w:t>
      </w:r>
    </w:p>
    <w:p>
      <w:pPr>
        <w:pStyle w:val="Normal"/>
      </w:pPr>
      <w:r>
        <w:t xml:space="preserve">user understand that there are steps to be taken—and that the process might take longer than he </w:t>
      </w:r>
    </w:p>
    <w:p>
      <w:pPr>
        <w:pStyle w:val="Normal"/>
      </w:pPr>
      <w:r>
        <w:t xml:space="preserve">or she might have expected. </w:t>
      </w:r>
    </w:p>
    <w:p>
      <w:pPr>
        <w:pStyle w:val="Para 25"/>
      </w:pPr>
      <w:r>
        <w:t/>
      </w:r>
    </w:p>
    <w:p>
      <w:pPr>
        <w:pStyle w:val="Normal"/>
      </w:pPr>
      <w:r>
        <w:t xml:space="preserve">Additionally, a solid process will help to minimize deployments that negatively impact users. </w:t>
      </w:r>
    </w:p>
    <w:p>
      <w:pPr>
        <w:pStyle w:val="Normal"/>
      </w:pPr>
      <w:r>
        <w:t xml:space="preserve">The deployment of packages that cause problems for users will hurt the reputation of your </w:t>
      </w:r>
    </w:p>
    <w:p>
      <w:pPr>
        <w:pStyle w:val="Normal"/>
      </w:pPr>
      <w:r>
        <w:t xml:space="preserve">package and deployment team—the last thing you need is for users to fear receipt of new deployments and blame every problem they encounter on something you have “done to them.”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20" name="index-96_1.png" descr="index-96_1.png"/>
            <wp:cNvGraphicFramePr>
              <a:graphicFrameLocks noChangeAspect="1"/>
            </wp:cNvGraphicFramePr>
            <a:graphic>
              <a:graphicData uri="http://schemas.openxmlformats.org/drawingml/2006/picture">
                <pic:pic>
                  <pic:nvPicPr>
                    <pic:cNvPr id="0" name="index-96_1.png" descr="index-96_1.png"/>
                    <pic:cNvPicPr/>
                  </pic:nvPicPr>
                  <pic:blipFill>
                    <a:blip r:embed="rId22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21" name="index-96_2.png" descr="index-96_2.png"/>
            <wp:cNvGraphicFramePr>
              <a:graphicFrameLocks noChangeAspect="1"/>
            </wp:cNvGraphicFramePr>
            <a:graphic>
              <a:graphicData uri="http://schemas.openxmlformats.org/drawingml/2006/picture">
                <pic:pic>
                  <pic:nvPicPr>
                    <pic:cNvPr id="0" name="index-96_2.png" descr="index-96_2.png"/>
                    <pic:cNvPicPr/>
                  </pic:nvPicPr>
                  <pic:blipFill>
                    <a:blip r:embed="rId225"/>
                    <a:stretch>
                      <a:fillRect/>
                    </a:stretch>
                  </pic:blipFill>
                  <pic:spPr>
                    <a:xfrm>
                      <a:off x="0" y="0"/>
                      <a:ext cx="914400" cy="444500"/>
                    </a:xfrm>
                    <a:prstGeom prst="rect">
                      <a:avLst/>
                    </a:prstGeom>
                  </pic:spPr>
                </pic:pic>
              </a:graphicData>
            </a:graphic>
          </wp:anchor>
        </w:drawing>
      </w:r>
    </w:p>
    <w:p>
      <w:pPr>
        <w:pStyle w:val="0 Block"/>
      </w:pPr>
    </w:p>
    <w:p>
      <w:bookmarkStart w:id="102" w:name="Chapter_4_1"/>
      <w:pPr>
        <w:pStyle w:val="Heading 1"/>
        <w:pageBreakBefore w:val="on"/>
      </w:pPr>
      <w:r>
        <w:t>Chapter 4</w:t>
      </w:r>
      <w:bookmarkEnd w:id="102"/>
    </w:p>
    <w:p>
      <w:pPr>
        <w:pStyle w:val="Para 25"/>
      </w:pPr>
      <w:r>
        <w:t/>
      </w:r>
    </w:p>
    <w:p>
      <w:pPr>
        <w:pStyle w:val="Normal"/>
      </w:pPr>
      <w:r>
        <w:t xml:space="preserve">We will discuss several elements that may be included in the makeup of your own deployment </w:t>
      </w:r>
    </w:p>
    <w:p>
      <w:pPr>
        <w:pStyle w:val="Normal"/>
      </w:pPr>
      <w:r>
        <w:t xml:space="preserve">process. Use what makes sense in your own environment, but consider each: </w:t>
      </w:r>
    </w:p>
    <w:p>
      <w:pPr>
        <w:pStyle w:val="Para 25"/>
      </w:pPr>
      <w:r>
        <w:t/>
      </w:r>
    </w:p>
    <w:p>
      <w:pPr>
        <w:pStyle w:val="Para 04"/>
      </w:pPr>
      <w:r>
        <w:t xml:space="preserve">• Receipt </w:t>
      </w:r>
    </w:p>
    <w:p>
      <w:pPr>
        <w:pStyle w:val="Para 25"/>
      </w:pPr>
      <w:r>
        <w:t/>
      </w:r>
    </w:p>
    <w:p>
      <w:pPr>
        <w:pStyle w:val="Para 04"/>
      </w:pPr>
      <w:r>
        <w:t xml:space="preserve">• Integration testing </w:t>
      </w:r>
    </w:p>
    <w:p>
      <w:pPr>
        <w:pStyle w:val="Para 25"/>
      </w:pPr>
      <w:r>
        <w:t/>
      </w:r>
    </w:p>
    <w:p>
      <w:pPr>
        <w:pStyle w:val="Para 04"/>
      </w:pPr>
      <w:r>
        <w:t xml:space="preserve">• Package research </w:t>
      </w:r>
    </w:p>
    <w:p>
      <w:pPr>
        <w:pStyle w:val="Para 25"/>
      </w:pPr>
      <w:r>
        <w:t/>
      </w:r>
    </w:p>
    <w:p>
      <w:pPr>
        <w:pStyle w:val="Para 04"/>
      </w:pPr>
      <w:r>
        <w:t xml:space="preserve">• Package development </w:t>
      </w:r>
    </w:p>
    <w:p>
      <w:pPr>
        <w:pStyle w:val="Para 25"/>
      </w:pPr>
      <w:r>
        <w:t/>
      </w:r>
    </w:p>
    <w:p>
      <w:pPr>
        <w:pStyle w:val="Para 04"/>
      </w:pPr>
      <w:r>
        <w:t xml:space="preserve">• Package testing </w:t>
      </w:r>
    </w:p>
    <w:p>
      <w:pPr>
        <w:pStyle w:val="Para 25"/>
      </w:pPr>
      <w:r>
        <w:t/>
      </w:r>
    </w:p>
    <w:p>
      <w:pPr>
        <w:pStyle w:val="Para 04"/>
      </w:pPr>
      <w:r>
        <w:t xml:space="preserve">• Deployment testing </w:t>
      </w:r>
    </w:p>
    <w:p>
      <w:pPr>
        <w:pStyle w:val="Para 25"/>
      </w:pPr>
      <w:r>
        <w:t/>
      </w:r>
    </w:p>
    <w:p>
      <w:pPr>
        <w:pStyle w:val="Para 04"/>
      </w:pPr>
      <w:r>
        <w:t xml:space="preserve">• Pilot deployment </w:t>
      </w:r>
    </w:p>
    <w:p>
      <w:pPr>
        <w:pStyle w:val="Para 25"/>
      </w:pPr>
      <w:r>
        <w:t/>
      </w:r>
    </w:p>
    <w:p>
      <w:pPr>
        <w:pStyle w:val="Para 04"/>
      </w:pPr>
      <w:r>
        <w:t xml:space="preserve">• Full-scale deployment </w:t>
      </w:r>
    </w:p>
    <w:p>
      <w:pPr>
        <w:pStyle w:val="Para 25"/>
      </w:pPr>
      <w:r>
        <w:t/>
      </w:r>
    </w:p>
    <w:p>
      <w:pPr>
        <w:pStyle w:val="Para 04"/>
      </w:pPr>
      <w:r>
        <w:t xml:space="preserve">• Baseline updates </w:t>
      </w:r>
    </w:p>
    <w:p>
      <w:pPr>
        <w:pStyle w:val="Para 25"/>
      </w:pPr>
      <w:r>
        <w:t/>
      </w:r>
    </w:p>
    <w:p>
      <w:pPr>
        <w:pStyle w:val="Para 07"/>
      </w:pPr>
      <w:r>
        <w:t xml:space="preserve">Receipt </w:t>
      </w:r>
    </w:p>
    <w:p>
      <w:pPr>
        <w:pStyle w:val="Normal"/>
      </w:pPr>
      <w:r>
        <w:t xml:space="preserve">In most environments, there is a board (or individual) that approves software for a network. The request might get to this point through some chain of approval, but odds are you, as the desktop </w:t>
      </w:r>
    </w:p>
    <w:p>
      <w:pPr>
        <w:pStyle w:val="Normal"/>
      </w:pPr>
      <w:r>
        <w:t xml:space="preserve">administrator, will not have to approve or disapprove software for use on the network. This, of </w:t>
      </w:r>
    </w:p>
    <w:p>
      <w:pPr>
        <w:pStyle w:val="Normal"/>
      </w:pPr>
      <w:r>
        <w:t xml:space="preserve">course, is a good thing; after all, you have better things to do, right? </w:t>
      </w:r>
    </w:p>
    <w:p>
      <w:pPr>
        <w:pStyle w:val="Para 25"/>
      </w:pPr>
      <w:r>
        <w:t/>
      </w:r>
    </w:p>
    <w:p>
      <w:pPr>
        <w:pStyle w:val="Normal"/>
      </w:pPr>
      <w:r>
        <w:t xml:space="preserve">When software is approved and makes it into your hands to deploy, there are some basic first steps you should take before you start working on a package to deploy the software. The </w:t>
      </w:r>
    </w:p>
    <w:p>
      <w:pPr>
        <w:pStyle w:val="Normal"/>
      </w:pPr>
      <w:r>
        <w:t xml:space="preserve">following sections detail these steps. </w:t>
      </w:r>
    </w:p>
    <w:p>
      <w:pPr>
        <w:pStyle w:val="Para 25"/>
      </w:pPr>
      <w:r>
        <w:t/>
      </w:r>
    </w:p>
    <w:p>
      <w:pPr>
        <w:pStyle w:val="Para 09"/>
      </w:pPr>
      <w:r>
        <w:t xml:space="preserve">Deploying the Latest Version </w:t>
      </w:r>
    </w:p>
    <w:p>
      <w:pPr>
        <w:pStyle w:val="Para 25"/>
      </w:pPr>
      <w:r>
        <w:t/>
      </w:r>
    </w:p>
    <w:p>
      <w:pPr>
        <w:pStyle w:val="Normal"/>
      </w:pPr>
      <w:r>
        <w:t xml:space="preserve">Many organizations make it a policy not to deploy old versions of software. This approach is </w:t>
      </w:r>
    </w:p>
    <w:p>
      <w:pPr>
        <w:pStyle w:val="Normal"/>
      </w:pPr>
      <w:r>
        <w:t xml:space="preserve">sensible considering that the update will require a second deployment more rapidly than if you </w:t>
      </w:r>
    </w:p>
    <w:p>
      <w:pPr>
        <w:pStyle w:val="Normal"/>
      </w:pPr>
      <w:r>
        <w:t xml:space="preserve">had deployed the latest version from the start. Check the vendor’s Web site to ensure that you have the latest version, upgrade, or patch. </w:t>
      </w:r>
    </w:p>
    <w:p>
      <w:pPr>
        <w:pStyle w:val="Para 25"/>
      </w:pPr>
      <w:r>
        <w:t/>
      </w:r>
    </w:p>
    <w:p>
      <w:pPr>
        <w:pStyle w:val="Para 27"/>
      </w:pPr>
      <w:r>
        <w:t xml:space="preserve"> One helpful way to track the latest version of software is the online service from TechTracker called </w:t>
      </w:r>
    </w:p>
    <w:p>
      <w:pPr>
        <w:pStyle w:val="Para 02"/>
      </w:pPr>
      <w:r>
        <w:t xml:space="preserve">VersionTracker. This service notifies users of new versions by comparing the software inventory of a </w:t>
      </w:r>
    </w:p>
    <w:p>
      <w:pPr>
        <w:pStyle w:val="Para 02"/>
      </w:pPr>
      <w:r>
        <w:t xml:space="preserve">system with the service’s online database. See http://www.versiontracker.com for more information. </w:t>
      </w:r>
    </w:p>
    <w:p>
      <w:pPr>
        <w:pStyle w:val="Para 25"/>
      </w:pPr>
      <w:r>
        <w:t/>
      </w:r>
    </w:p>
    <w:p>
      <w:pPr>
        <w:pStyle w:val="Para 09"/>
      </w:pPr>
      <w:r>
        <w:t xml:space="preserve">Existing Older Versions </w:t>
      </w:r>
    </w:p>
    <w:p>
      <w:pPr>
        <w:pStyle w:val="Para 25"/>
      </w:pPr>
      <w:r>
        <w:t/>
      </w:r>
    </w:p>
    <w:p>
      <w:pPr>
        <w:pStyle w:val="Normal"/>
      </w:pPr>
      <w:r>
        <w:t xml:space="preserve">If a version of the software that you are to deploy already exists on the network, it is likely that </w:t>
      </w:r>
    </w:p>
    <w:p>
      <w:pPr>
        <w:pStyle w:val="Normal"/>
      </w:pPr>
      <w:r>
        <w:t xml:space="preserve">this existence will affect how you deploy your new package. In some cases, previous versions must be installed before any new version is installed. If you are deploying software while users </w:t>
      </w:r>
    </w:p>
    <w:p>
      <w:pPr>
        <w:pStyle w:val="Normal"/>
      </w:pPr>
      <w:r>
        <w:t xml:space="preserve">are logged on, you might need to ensure that the previous version is not in use before triggering </w:t>
      </w:r>
    </w:p>
    <w:p>
      <w:pPr>
        <w:pStyle w:val="Normal"/>
      </w:pPr>
      <w:r>
        <w:t xml:space="preserve">your silent installation. Finally, if you have repackaged a previous version as an MSI setup, you </w:t>
      </w:r>
    </w:p>
    <w:p>
      <w:pPr>
        <w:pStyle w:val="Normal"/>
      </w:pPr>
      <w:r>
        <w:t xml:space="preserve">will need to synchronize the component global unique identifiers (GUIDs) of the two packages and properly configure the new MSI as an update of the previous one. For more information </w:t>
      </w:r>
    </w:p>
    <w:p>
      <w:pPr>
        <w:pStyle w:val="Normal"/>
      </w:pPr>
      <w:r>
        <w:t xml:space="preserve">about MSI update packages, see the sidebar “Creating Update MSI Files.”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22" name="index-97_1.png" descr="index-97_1.png"/>
            <wp:cNvGraphicFramePr>
              <a:graphicFrameLocks noChangeAspect="1"/>
            </wp:cNvGraphicFramePr>
            <a:graphic>
              <a:graphicData uri="http://schemas.openxmlformats.org/drawingml/2006/picture">
                <pic:pic>
                  <pic:nvPicPr>
                    <pic:cNvPr id="0" name="index-97_1.png" descr="index-97_1.png"/>
                    <pic:cNvPicPr/>
                  </pic:nvPicPr>
                  <pic:blipFill>
                    <a:blip r:embed="rId22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23" name="index-97_2.png" descr="index-97_2.png"/>
            <wp:cNvGraphicFramePr>
              <a:graphicFrameLocks noChangeAspect="1"/>
            </wp:cNvGraphicFramePr>
            <a:graphic>
              <a:graphicData uri="http://schemas.openxmlformats.org/drawingml/2006/picture">
                <pic:pic>
                  <pic:nvPicPr>
                    <pic:cNvPr id="0" name="index-97_2.png" descr="index-97_2.png"/>
                    <pic:cNvPicPr/>
                  </pic:nvPicPr>
                  <pic:blipFill>
                    <a:blip r:embed="rId227"/>
                    <a:stretch>
                      <a:fillRect/>
                    </a:stretch>
                  </pic:blipFill>
                  <pic:spPr>
                    <a:xfrm>
                      <a:off x="0" y="0"/>
                      <a:ext cx="914400" cy="444500"/>
                    </a:xfrm>
                    <a:prstGeom prst="rect">
                      <a:avLst/>
                    </a:prstGeom>
                  </pic:spPr>
                </pic:pic>
              </a:graphicData>
            </a:graphic>
          </wp:anchor>
        </w:drawing>
      </w:r>
    </w:p>
    <w:p>
      <w:pPr>
        <w:pStyle w:val="0 Block"/>
      </w:pPr>
    </w:p>
    <w:p>
      <w:bookmarkStart w:id="103" w:name="Chapter_4_2"/>
      <w:pPr>
        <w:pStyle w:val="Heading 1"/>
        <w:pageBreakBefore w:val="on"/>
      </w:pPr>
      <w:r>
        <w:t>Chapter 4</w:t>
      </w:r>
      <w:bookmarkEnd w:id="103"/>
    </w:p>
    <w:p>
      <w:pPr>
        <w:pStyle w:val="Para 25"/>
      </w:pPr>
      <w:r>
        <w:t/>
      </w:r>
    </w:p>
    <w:p>
      <w:pPr>
        <w:pStyle w:val="Para 19"/>
      </w:pPr>
      <w:r>
        <w:t xml:space="preserve">Creating Update MSI Files </w:t>
      </w:r>
    </w:p>
    <w:p>
      <w:pPr>
        <w:pStyle w:val="Para 03"/>
      </w:pPr>
      <w:r>
        <w:t xml:space="preserve">Vendor-provided MSI files </w:t>
      </w:r>
      <w:r>
        <w:rPr>
          <w:rStyle w:val="Text0"/>
        </w:rPr>
        <w:t>should</w:t>
      </w:r>
      <w:r>
        <w:t xml:space="preserve"> follow Windows Installer rules for updates. However, if you are </w:t>
        <w:t xml:space="preserve">developing a setup for an internally developed application or repackaging a commercial off-the-shelf </w:t>
        <w:t xml:space="preserve">(COTS) application, there are some additional considerations for the proper configuration of an MSI </w:t>
        <w:t xml:space="preserve">update. </w:t>
      </w:r>
    </w:p>
    <w:p>
      <w:pPr>
        <w:pStyle w:val="Para 03"/>
      </w:pPr>
      <w:r>
        <w:t xml:space="preserve">The version number of the MSI must be incremented. Major and minor updates are dictated by which </w:t>
        <w:t xml:space="preserve">version number is incremented. For example, 1.1.0.0 to 1.2.0.0 would be a minor update and 1.1.0.0 to </w:t>
        <w:t xml:space="preserve">2.0.0.0 would be a major update. For more information about MSI version numbers, see the article by </w:t>
        <w:t xml:space="preserve">Matt Goedtel, “The Importance of the Version Field,” at http://myitforum.com/articles/6/view.asp?id=5075. </w:t>
      </w:r>
    </w:p>
    <w:p>
      <w:pPr>
        <w:pStyle w:val="Para 03"/>
      </w:pPr>
      <w:r>
        <w:t xml:space="preserve">Depending upon the type of update, a varying number of required GUID updates are necessary. GUIDs </w:t>
        <w:t xml:space="preserve">to be updated might include the PackageCode, ProductCode, and ProductVersion. See the Windows </w:t>
        <w:t>Installer SDK for more details (online at http://msdn.microsoft.com/library/en-</w:t>
        <w:t xml:space="preserve">us/msi/setup/patching_and_upgrades.asp). </w:t>
      </w:r>
    </w:p>
    <w:p>
      <w:pPr>
        <w:pStyle w:val="Para 03"/>
      </w:pPr>
      <w:r>
        <w:t xml:space="preserve">GUID synchronization for like components is also important to the MSI update process. All elements of an </w:t>
        <w:t xml:space="preserve">MSI package are identified by GUID values. Your MSI authoring/repackaging software randomly </w:t>
        <w:t xml:space="preserve">generates these values for you. When the same file and version is deployed in one or more packages, </w:t>
        <w:t xml:space="preserve">such as in an update MSI file, it is important to use the same GUID to identify the files so that the </w:t>
        <w:t xml:space="preserve">reference counts can be properly maintained by Windows Installer (keeping the system from removing </w:t>
        <w:t xml:space="preserve">the file from the system during uninstall when another application is still using it). For more information </w:t>
        <w:t xml:space="preserve">about component, package, product, and upgrade codes, visit </w:t>
        <w:t xml:space="preserve">http://www.installshield.com/aboutus/news/newsletter/0012_50ef-3.asp. </w:t>
      </w:r>
    </w:p>
    <w:p>
      <w:pPr>
        <w:pStyle w:val="Para 25"/>
      </w:pPr>
      <w:r>
        <w:t/>
      </w:r>
    </w:p>
    <w:p>
      <w:pPr>
        <w:pStyle w:val="Para 02"/>
      </w:pPr>
      <w:r>
        <w:t xml:space="preserve">For more information about Windows Installer, read Jeremy Moskowitz and Darwin Sanoy’s </w:t>
      </w:r>
      <w:r>
        <w:rPr>
          <w:rStyle w:val="Text0"/>
        </w:rPr>
        <w:t xml:space="preserve">The </w:t>
      </w:r>
    </w:p>
    <w:p>
      <w:pPr>
        <w:pStyle w:val="Para 29"/>
      </w:pPr>
      <w:r>
        <w:t xml:space="preserve">Definitive Guide to Windows Installer Technology for System Administrators </w:t>
      </w:r>
      <w:r>
        <w:rPr>
          <w:rStyle w:val="Text0"/>
        </w:rPr>
        <w:t xml:space="preserve">(Realtimepublishers), a </w:t>
      </w:r>
    </w:p>
    <w:p>
      <w:pPr>
        <w:pStyle w:val="Para 02"/>
      </w:pPr>
      <w:r>
        <w:t xml:space="preserve">link to which is available from http://www.realtimepublishers.com. </w:t>
      </w:r>
    </w:p>
    <w:p>
      <w:pPr>
        <w:pStyle w:val="Para 25"/>
      </w:pPr>
      <w:r>
        <w:t/>
      </w:r>
    </w:p>
    <w:p>
      <w:pPr>
        <w:pStyle w:val="Para 09"/>
      </w:pPr>
      <w:r>
        <w:t xml:space="preserve">Media Tracking </w:t>
      </w:r>
    </w:p>
    <w:p>
      <w:pPr>
        <w:pStyle w:val="Para 25"/>
      </w:pPr>
      <w:r>
        <w:t/>
      </w:r>
    </w:p>
    <w:p>
      <w:pPr>
        <w:pStyle w:val="Normal"/>
      </w:pPr>
      <w:r>
        <w:t xml:space="preserve">When you receive installation media (CD-ROMs, floppies, DVDs, and so on), it is a good idea to </w:t>
      </w:r>
    </w:p>
    <w:p>
      <w:pPr>
        <w:pStyle w:val="Normal"/>
      </w:pPr>
      <w:r>
        <w:t xml:space="preserve">have a way to store and track them in place. In the pile of CD-ROMs that covers your desk, it can be easy to misplace one, and doing so can obviously be a big problem. Many organizations </w:t>
      </w:r>
    </w:p>
    <w:p>
      <w:pPr>
        <w:pStyle w:val="Normal"/>
      </w:pPr>
      <w:r>
        <w:t xml:space="preserve">store installation files on a network share. In fact, doing so is often a necessity because a scripted </w:t>
      </w:r>
    </w:p>
    <w:p>
      <w:pPr>
        <w:pStyle w:val="Normal"/>
      </w:pPr>
      <w:r>
        <w:t xml:space="preserve">or command-line install will require the source files to do the job. Put a logical directory structure in place that will help you to quickly identify the software you are looking for in the </w:t>
      </w:r>
    </w:p>
    <w:p>
      <w:pPr>
        <w:pStyle w:val="Normal"/>
      </w:pPr>
      <w:r>
        <w:t xml:space="preserve">future. Figure 4.1 shows an example.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24" name="index-98_1.png" descr="index-98_1.png"/>
            <wp:cNvGraphicFramePr>
              <a:graphicFrameLocks noChangeAspect="1"/>
            </wp:cNvGraphicFramePr>
            <a:graphic>
              <a:graphicData uri="http://schemas.openxmlformats.org/drawingml/2006/picture">
                <pic:pic>
                  <pic:nvPicPr>
                    <pic:cNvPr id="0" name="index-98_1.png" descr="index-98_1.png"/>
                    <pic:cNvPicPr/>
                  </pic:nvPicPr>
                  <pic:blipFill>
                    <a:blip r:embed="rId22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25" name="index-98_2.png" descr="index-98_2.png"/>
            <wp:cNvGraphicFramePr>
              <a:graphicFrameLocks noChangeAspect="1"/>
            </wp:cNvGraphicFramePr>
            <a:graphic>
              <a:graphicData uri="http://schemas.openxmlformats.org/drawingml/2006/picture">
                <pic:pic>
                  <pic:nvPicPr>
                    <pic:cNvPr id="0" name="index-98_2.png" descr="index-98_2.png"/>
                    <pic:cNvPicPr/>
                  </pic:nvPicPr>
                  <pic:blipFill>
                    <a:blip r:embed="rId229"/>
                    <a:stretch>
                      <a:fillRect/>
                    </a:stretch>
                  </pic:blipFill>
                  <pic:spPr>
                    <a:xfrm>
                      <a:off x="0" y="0"/>
                      <a:ext cx="914400" cy="444500"/>
                    </a:xfrm>
                    <a:prstGeom prst="rect">
                      <a:avLst/>
                    </a:prstGeom>
                  </pic:spPr>
                </pic:pic>
              </a:graphicData>
            </a:graphic>
          </wp:anchor>
        </w:drawing>
      </w:r>
    </w:p>
    <w:p>
      <w:pPr>
        <w:pStyle w:val="0 Block"/>
      </w:pPr>
    </w:p>
    <w:p>
      <w:bookmarkStart w:id="104" w:name="Chapter_4_3"/>
      <w:pPr>
        <w:pStyle w:val="Heading 1"/>
        <w:pageBreakBefore w:val="on"/>
      </w:pPr>
      <w:r>
        <w:t>Chapter 4</w:t>
      </w:r>
      <w:bookmarkEnd w:id="10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62300" cy="3187700"/>
            <wp:effectExtent l="0" r="0" t="0" b="0"/>
            <wp:wrapTopAndBottom/>
            <wp:docPr id="226" name="index-99_1.png" descr="index-99_1.png"/>
            <wp:cNvGraphicFramePr>
              <a:graphicFrameLocks noChangeAspect="1"/>
            </wp:cNvGraphicFramePr>
            <a:graphic>
              <a:graphicData uri="http://schemas.openxmlformats.org/drawingml/2006/picture">
                <pic:pic>
                  <pic:nvPicPr>
                    <pic:cNvPr id="0" name="index-99_1.png" descr="index-99_1.png"/>
                    <pic:cNvPicPr/>
                  </pic:nvPicPr>
                  <pic:blipFill>
                    <a:blip r:embed="rId230"/>
                    <a:stretch>
                      <a:fillRect/>
                    </a:stretch>
                  </pic:blipFill>
                  <pic:spPr>
                    <a:xfrm>
                      <a:off x="0" y="0"/>
                      <a:ext cx="3162300" cy="31877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4.1: An example package directory structure. </w:t>
      </w:r>
    </w:p>
    <w:p>
      <w:pPr>
        <w:pStyle w:val="Para 25"/>
      </w:pPr>
      <w:r>
        <w:t/>
      </w:r>
    </w:p>
    <w:p>
      <w:pPr>
        <w:pStyle w:val="Para 02"/>
      </w:pPr>
      <w:r>
        <w:t xml:space="preserve">You can save yourself some trouble by avoiding use of spaces in the names of shares, directories, </w:t>
      </w:r>
    </w:p>
    <w:p>
      <w:pPr>
        <w:pStyle w:val="Para 02"/>
      </w:pPr>
      <w:r>
        <w:t xml:space="preserve">and packages. When a space is used, you will need to enclose the entire path in quotes when calling </w:t>
      </w:r>
    </w:p>
    <w:p>
      <w:pPr>
        <w:pStyle w:val="Para 02"/>
      </w:pPr>
      <w:r>
        <w:t xml:space="preserve">it in Windows. When a path to a file might be a command-line parameter, enclosing paths in quotes </w:t>
      </w:r>
    </w:p>
    <w:p>
      <w:pPr>
        <w:pStyle w:val="Para 02"/>
      </w:pPr>
      <w:r>
        <w:t xml:space="preserve">can make complex command-line syntax even more difficult. Eliminating spaces or substituting them </w:t>
      </w:r>
    </w:p>
    <w:p>
      <w:pPr>
        <w:pStyle w:val="Para 02"/>
      </w:pPr>
      <w:r>
        <w:t xml:space="preserve">with an underscore character (_) can help you to avoid making long command line calls more difficult </w:t>
      </w:r>
    </w:p>
    <w:p>
      <w:pPr>
        <w:pStyle w:val="Para 02"/>
      </w:pPr>
      <w:r>
        <w:t xml:space="preserve">than they need to be. </w:t>
      </w:r>
    </w:p>
    <w:p>
      <w:pPr>
        <w:pStyle w:val="Para 25"/>
      </w:pPr>
      <w:r>
        <w:t/>
      </w:r>
    </w:p>
    <w:p>
      <w:pPr>
        <w:pStyle w:val="Normal"/>
      </w:pPr>
      <w:r>
        <w:t xml:space="preserve">With the installation software on the network where you need it, return the CD-ROM to the owner. Some organizations have a media library or configuration management department that </w:t>
      </w:r>
    </w:p>
    <w:p>
      <w:pPr>
        <w:pStyle w:val="Normal"/>
      </w:pPr>
      <w:r>
        <w:t xml:space="preserve">stores installation media and tracks licensing. Returning the media once you have what you need </w:t>
      </w:r>
    </w:p>
    <w:p>
      <w:pPr>
        <w:pStyle w:val="Normal"/>
      </w:pPr>
      <w:r>
        <w:t xml:space="preserve">minimizes the time it is in your possession. If you must store the installation media yourself, put together a simple filing system to track its point of contact and the date it was obtained. It is also </w:t>
      </w:r>
    </w:p>
    <w:p>
      <w:pPr>
        <w:pStyle w:val="Normal"/>
      </w:pPr>
      <w:r>
        <w:t xml:space="preserve">a very good idea to have a place to record the date, a return date, and initials. Then when </w:t>
      </w:r>
    </w:p>
    <w:p>
      <w:pPr>
        <w:pStyle w:val="Normal"/>
      </w:pPr>
      <w:r>
        <w:t xml:space="preserve">someone comes to take the CD-ROM back, have that person initial your file for accountability </w:t>
      </w:r>
    </w:p>
    <w:p>
      <w:pPr>
        <w:pStyle w:val="Normal"/>
      </w:pPr>
      <w:r>
        <w:t xml:space="preserve">purposes.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27" name="index-99_2.png" descr="index-99_2.png"/>
            <wp:cNvGraphicFramePr>
              <a:graphicFrameLocks noChangeAspect="1"/>
            </wp:cNvGraphicFramePr>
            <a:graphic>
              <a:graphicData uri="http://schemas.openxmlformats.org/drawingml/2006/picture">
                <pic:pic>
                  <pic:nvPicPr>
                    <pic:cNvPr id="0" name="index-99_2.png" descr="index-99_2.png"/>
                    <pic:cNvPicPr/>
                  </pic:nvPicPr>
                  <pic:blipFill>
                    <a:blip r:embed="rId23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28" name="index-99_3.png" descr="index-99_3.png"/>
            <wp:cNvGraphicFramePr>
              <a:graphicFrameLocks noChangeAspect="1"/>
            </wp:cNvGraphicFramePr>
            <a:graphic>
              <a:graphicData uri="http://schemas.openxmlformats.org/drawingml/2006/picture">
                <pic:pic>
                  <pic:nvPicPr>
                    <pic:cNvPr id="0" name="index-99_3.png" descr="index-99_3.png"/>
                    <pic:cNvPicPr/>
                  </pic:nvPicPr>
                  <pic:blipFill>
                    <a:blip r:embed="rId232"/>
                    <a:stretch>
                      <a:fillRect/>
                    </a:stretch>
                  </pic:blipFill>
                  <pic:spPr>
                    <a:xfrm>
                      <a:off x="0" y="0"/>
                      <a:ext cx="914400" cy="444500"/>
                    </a:xfrm>
                    <a:prstGeom prst="rect">
                      <a:avLst/>
                    </a:prstGeom>
                  </pic:spPr>
                </pic:pic>
              </a:graphicData>
            </a:graphic>
          </wp:anchor>
        </w:drawing>
      </w:r>
    </w:p>
    <w:p>
      <w:pPr>
        <w:pStyle w:val="0 Block"/>
      </w:pPr>
    </w:p>
    <w:p>
      <w:bookmarkStart w:id="105" w:name="Chapter_4_4"/>
      <w:pPr>
        <w:pStyle w:val="Heading 1"/>
        <w:pageBreakBefore w:val="on"/>
      </w:pPr>
      <w:r>
        <w:t>Chapter 4</w:t>
      </w:r>
      <w:bookmarkEnd w:id="105"/>
    </w:p>
    <w:p>
      <w:pPr>
        <w:pStyle w:val="Para 25"/>
      </w:pPr>
      <w:r>
        <w:t/>
      </w:r>
    </w:p>
    <w:p>
      <w:pPr>
        <w:pStyle w:val="Para 02"/>
      </w:pPr>
      <w:r>
        <w:t xml:space="preserve">Some setups require that the original CD-ROM be used. Either due to a poor setup process or an </w:t>
      </w:r>
    </w:p>
    <w:p>
      <w:pPr>
        <w:pStyle w:val="Para 02"/>
      </w:pPr>
      <w:r>
        <w:t xml:space="preserve">intentional restriction to deter pirating, it might be necessary to repackage the application directly from </w:t>
      </w:r>
    </w:p>
    <w:p>
      <w:pPr>
        <w:pStyle w:val="Para 02"/>
      </w:pPr>
      <w:r>
        <w:t>the installation media. You might be able to “trick” setup into thinking it is being installed from a CD-</w:t>
      </w:r>
    </w:p>
    <w:p>
      <w:pPr>
        <w:pStyle w:val="Para 02"/>
      </w:pPr>
      <w:r>
        <w:t xml:space="preserve">ROM by sharing the folder in which you have stored the media and mapping a drive letter to that </w:t>
      </w:r>
    </w:p>
    <w:p>
      <w:pPr>
        <w:pStyle w:val="Para 02"/>
      </w:pPr>
      <w:r>
        <w:t xml:space="preserve">location. Doing so will make it appear at root, like it would if you were installing from a CD-ROM. Still </w:t>
      </w:r>
    </w:p>
    <w:p>
      <w:pPr>
        <w:pStyle w:val="Para 02"/>
      </w:pPr>
      <w:r>
        <w:t xml:space="preserve">other setups check for a volume label as a condition of installation. To satisfy this restriction, you </w:t>
      </w:r>
    </w:p>
    <w:p>
      <w:pPr>
        <w:pStyle w:val="Para 02"/>
      </w:pPr>
      <w:r>
        <w:t xml:space="preserve">must set the volume label for the drive containing the shared folder. If you are repackaging, just work </w:t>
      </w:r>
    </w:p>
    <w:p>
      <w:pPr>
        <w:pStyle w:val="Para 02"/>
      </w:pPr>
      <w:r>
        <w:t xml:space="preserve">from the removable media to create your package. If you are working to script the installation, steps </w:t>
      </w:r>
    </w:p>
    <w:p>
      <w:pPr>
        <w:pStyle w:val="Para 02"/>
      </w:pPr>
      <w:r>
        <w:t xml:space="preserve">like these might be necessary depending upon the limitations accidentally or deliberately imposed by </w:t>
      </w:r>
    </w:p>
    <w:p>
      <w:pPr>
        <w:pStyle w:val="Para 02"/>
      </w:pPr>
      <w:r>
        <w:t xml:space="preserve">the vendor. </w:t>
      </w:r>
    </w:p>
    <w:p>
      <w:pPr>
        <w:pStyle w:val="Para 25"/>
      </w:pPr>
      <w:r>
        <w:t/>
      </w:r>
    </w:p>
    <w:p>
      <w:pPr>
        <w:pStyle w:val="Para 07"/>
      </w:pPr>
      <w:r>
        <w:t xml:space="preserve">Integration Testing </w:t>
      </w:r>
    </w:p>
    <w:p>
      <w:pPr>
        <w:pStyle w:val="Normal"/>
      </w:pPr>
      <w:r>
        <w:t xml:space="preserve">If you have different versions of Windows on your network or have placed additional security </w:t>
      </w:r>
    </w:p>
    <w:p>
      <w:pPr>
        <w:pStyle w:val="Normal"/>
      </w:pPr>
      <w:r>
        <w:t xml:space="preserve">restrictions on your workstations, the software might have difficulty running at all. Before you </w:t>
      </w:r>
    </w:p>
    <w:p>
      <w:pPr>
        <w:pStyle w:val="Normal"/>
      </w:pPr>
      <w:r>
        <w:t xml:space="preserve">create and start troubleshooting what might appear to be a problem with your deployment package, first ensure that the application is able to operate within your unique environment when </w:t>
      </w:r>
    </w:p>
    <w:p>
      <w:pPr>
        <w:pStyle w:val="Normal"/>
      </w:pPr>
      <w:r>
        <w:t xml:space="preserve">installed manually. </w:t>
      </w:r>
    </w:p>
    <w:p>
      <w:pPr>
        <w:pStyle w:val="Para 25"/>
      </w:pPr>
      <w:r>
        <w:t/>
      </w:r>
    </w:p>
    <w:p>
      <w:pPr>
        <w:pStyle w:val="Para 09"/>
      </w:pPr>
      <w:r>
        <w:t xml:space="preserve">Installation and Usage Documentation </w:t>
      </w:r>
    </w:p>
    <w:p>
      <w:pPr>
        <w:pStyle w:val="Para 25"/>
      </w:pPr>
      <w:r>
        <w:t/>
      </w:r>
    </w:p>
    <w:p>
      <w:pPr>
        <w:pStyle w:val="Normal"/>
      </w:pPr>
      <w:r>
        <w:t xml:space="preserve">Most software installation wizards provide some number of prompts, selections, and buttons to </w:t>
      </w:r>
    </w:p>
    <w:p>
      <w:pPr>
        <w:pStyle w:val="Normal"/>
      </w:pPr>
      <w:r>
        <w:t xml:space="preserve">be addressed during the installation process. If you simply install the software as you think it </w:t>
      </w:r>
    </w:p>
    <w:p>
      <w:pPr>
        <w:pStyle w:val="Normal"/>
      </w:pPr>
      <w:r>
        <w:t xml:space="preserve">should be installed, you will inevitably find yourself in situations in which the package does not </w:t>
      </w:r>
    </w:p>
    <w:p>
      <w:pPr>
        <w:pStyle w:val="Normal"/>
      </w:pPr>
      <w:r>
        <w:t xml:space="preserve">reflect the desires of the user requesting the software. </w:t>
      </w:r>
    </w:p>
    <w:p>
      <w:pPr>
        <w:pStyle w:val="Para 25"/>
      </w:pPr>
      <w:r>
        <w:t/>
      </w:r>
    </w:p>
    <w:p>
      <w:pPr>
        <w:pStyle w:val="Normal"/>
      </w:pPr>
      <w:r>
        <w:t xml:space="preserve">As long as integration testing must be done, taking the time to do so with the user requesting the </w:t>
      </w:r>
    </w:p>
    <w:p>
      <w:pPr>
        <w:pStyle w:val="Normal"/>
      </w:pPr>
      <w:r>
        <w:t xml:space="preserve">software can be a valuable exercise. Install the software with the user, and document each </w:t>
      </w:r>
    </w:p>
    <w:p>
      <w:pPr>
        <w:pStyle w:val="Normal"/>
      </w:pPr>
      <w:r>
        <w:t xml:space="preserve">selection. Although the direction might simply be to “accept all defaults,” the user might not be truly aware of what the default settings entail. Some installation dialog boxes might even require </w:t>
      </w:r>
    </w:p>
    <w:p>
      <w:pPr>
        <w:pStyle w:val="Normal"/>
      </w:pPr>
      <w:r>
        <w:t xml:space="preserve">that you make a decision that does not provide a default selection—what then? Screen shots of </w:t>
      </w:r>
    </w:p>
    <w:p>
      <w:pPr>
        <w:pStyle w:val="Normal"/>
      </w:pPr>
      <w:r>
        <w:t xml:space="preserve">the installation wizard might be overkill, but a simple bulleted list of what was done during installation can let others see the process and might even help you 200 packages later when you </w:t>
      </w:r>
    </w:p>
    <w:p>
      <w:pPr>
        <w:pStyle w:val="Normal"/>
      </w:pPr>
      <w:r>
        <w:t xml:space="preserve">have long since forgotten the specifics of the installation. </w:t>
      </w:r>
    </w:p>
    <w:p>
      <w:pPr>
        <w:pStyle w:val="Para 25"/>
      </w:pPr>
      <w:r>
        <w:t/>
      </w:r>
    </w:p>
    <w:p>
      <w:pPr>
        <w:pStyle w:val="Normal"/>
      </w:pPr>
      <w:r>
        <w:t xml:space="preserve">Another piece of information easy to overlook is the file used to launch the installation process </w:t>
      </w:r>
    </w:p>
    <w:p>
      <w:pPr>
        <w:pStyle w:val="Normal"/>
      </w:pPr>
      <w:r>
        <w:t xml:space="preserve">itself. It is not always as simple as a setup.exe on the root of a CD-ROM. There are times when an installation media might have several directories and setup files. Having clear documentation </w:t>
      </w:r>
    </w:p>
    <w:p>
      <w:pPr>
        <w:pStyle w:val="Normal"/>
      </w:pPr>
      <w:r>
        <w:t xml:space="preserve">of the one you used can save time otherwise spent hunting around for the proper file. The </w:t>
      </w:r>
    </w:p>
    <w:p>
      <w:pPr>
        <w:pStyle w:val="Normal"/>
      </w:pPr>
      <w:r>
        <w:t xml:space="preserve">following list details a very simple example of a software installation document: </w:t>
      </w:r>
    </w:p>
    <w:p>
      <w:pPr>
        <w:pStyle w:val="Para 25"/>
      </w:pPr>
      <w:r>
        <w:t/>
      </w:r>
    </w:p>
    <w:p>
      <w:pPr>
        <w:pStyle w:val="Para 04"/>
      </w:pPr>
      <w:r>
        <w:t xml:space="preserve">• Start install: \bin\eaxsetup.exe </w:t>
      </w:r>
    </w:p>
    <w:p>
      <w:pPr>
        <w:pStyle w:val="Para 25"/>
      </w:pPr>
      <w:r>
        <w:t/>
      </w:r>
    </w:p>
    <w:p>
      <w:pPr>
        <w:pStyle w:val="Para 04"/>
      </w:pPr>
      <w:r>
        <w:t xml:space="preserve">• Accept EULA </w:t>
      </w:r>
    </w:p>
    <w:p>
      <w:pPr>
        <w:pStyle w:val="Para 25"/>
      </w:pPr>
      <w:r>
        <w:t/>
      </w:r>
    </w:p>
    <w:p>
      <w:pPr>
        <w:pStyle w:val="Para 04"/>
      </w:pPr>
      <w:r>
        <w:t xml:space="preserve">• Accept default installation directory </w:t>
      </w:r>
    </w:p>
    <w:p>
      <w:pPr>
        <w:pStyle w:val="Para 25"/>
      </w:pPr>
      <w:r>
        <w:t/>
      </w:r>
    </w:p>
    <w:p>
      <w:pPr>
        <w:pStyle w:val="Para 04"/>
      </w:pPr>
      <w:r>
        <w:t xml:space="preserve">• Begin installation </w:t>
      </w:r>
    </w:p>
    <w:p>
      <w:pPr>
        <w:pStyle w:val="Para 25"/>
      </w:pPr>
      <w:r>
        <w:t/>
      </w:r>
    </w:p>
    <w:p>
      <w:pPr>
        <w:pStyle w:val="Para 04"/>
      </w:pPr>
      <w:r>
        <w:t xml:space="preserve">• OK to reboot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29" name="index-100_1.png" descr="index-100_1.png"/>
            <wp:cNvGraphicFramePr>
              <a:graphicFrameLocks noChangeAspect="1"/>
            </wp:cNvGraphicFramePr>
            <a:graphic>
              <a:graphicData uri="http://schemas.openxmlformats.org/drawingml/2006/picture">
                <pic:pic>
                  <pic:nvPicPr>
                    <pic:cNvPr id="0" name="index-100_1.png" descr="index-100_1.png"/>
                    <pic:cNvPicPr/>
                  </pic:nvPicPr>
                  <pic:blipFill>
                    <a:blip r:embed="rId23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30" name="index-100_2.png" descr="index-100_2.png"/>
            <wp:cNvGraphicFramePr>
              <a:graphicFrameLocks noChangeAspect="1"/>
            </wp:cNvGraphicFramePr>
            <a:graphic>
              <a:graphicData uri="http://schemas.openxmlformats.org/drawingml/2006/picture">
                <pic:pic>
                  <pic:nvPicPr>
                    <pic:cNvPr id="0" name="index-100_2.png" descr="index-100_2.png"/>
                    <pic:cNvPicPr/>
                  </pic:nvPicPr>
                  <pic:blipFill>
                    <a:blip r:embed="rId234"/>
                    <a:stretch>
                      <a:fillRect/>
                    </a:stretch>
                  </pic:blipFill>
                  <pic:spPr>
                    <a:xfrm>
                      <a:off x="0" y="0"/>
                      <a:ext cx="914400" cy="444500"/>
                    </a:xfrm>
                    <a:prstGeom prst="rect">
                      <a:avLst/>
                    </a:prstGeom>
                  </pic:spPr>
                </pic:pic>
              </a:graphicData>
            </a:graphic>
          </wp:anchor>
        </w:drawing>
      </w:r>
    </w:p>
    <w:p>
      <w:pPr>
        <w:pStyle w:val="0 Block"/>
      </w:pPr>
    </w:p>
    <w:p>
      <w:bookmarkStart w:id="106" w:name="Chapter_4_5"/>
      <w:pPr>
        <w:pStyle w:val="Heading 1"/>
        <w:pageBreakBefore w:val="on"/>
      </w:pPr>
      <w:r>
        <w:t>Chapter 4</w:t>
      </w:r>
      <w:bookmarkEnd w:id="106"/>
    </w:p>
    <w:p>
      <w:pPr>
        <w:pStyle w:val="Para 25"/>
      </w:pPr>
      <w:r>
        <w:t/>
      </w:r>
    </w:p>
    <w:p>
      <w:pPr>
        <w:pStyle w:val="Para 09"/>
      </w:pPr>
      <w:r>
        <w:t xml:space="preserve">Application Interaction Considerations </w:t>
      </w:r>
    </w:p>
    <w:p>
      <w:pPr>
        <w:pStyle w:val="Para 25"/>
      </w:pPr>
      <w:r>
        <w:t/>
      </w:r>
    </w:p>
    <w:p>
      <w:pPr>
        <w:pStyle w:val="Normal"/>
      </w:pPr>
      <w:r>
        <w:t xml:space="preserve">What will the impact be on other applications? Many applications depend on components such as </w:t>
      </w:r>
    </w:p>
    <w:p>
      <w:pPr>
        <w:pStyle w:val="Normal"/>
      </w:pPr>
      <w:r>
        <w:t xml:space="preserve">the Java Runtime Environment (JRE), Oracle Client, and Microsoft Data Access Components (MDAC). The version (or in some cases the location) of such an installation might significantly </w:t>
      </w:r>
    </w:p>
    <w:p>
      <w:pPr>
        <w:pStyle w:val="Normal"/>
      </w:pPr>
      <w:r>
        <w:t xml:space="preserve">affect other applications on a system. </w:t>
      </w:r>
    </w:p>
    <w:p>
      <w:pPr>
        <w:pStyle w:val="Para 25"/>
      </w:pPr>
      <w:r>
        <w:t/>
      </w:r>
    </w:p>
    <w:p>
      <w:pPr>
        <w:pStyle w:val="Normal"/>
      </w:pPr>
      <w:r>
        <w:t xml:space="preserve">Particularly in situations in which there is an internal development staff or companies are contracted to write custom software for an organization, it is imperative that your baseline </w:t>
      </w:r>
    </w:p>
    <w:p>
      <w:pPr>
        <w:pStyle w:val="Normal"/>
      </w:pPr>
      <w:r>
        <w:t xml:space="preserve">configuration be communicated. The version, location, and settings for elements such as MDAC </w:t>
      </w:r>
    </w:p>
    <w:p>
      <w:pPr>
        <w:pStyle w:val="Normal"/>
      </w:pPr>
      <w:r>
        <w:t xml:space="preserve">are important to consider early in the development stages. Guiding </w:t>
      </w:r>
      <w:r>
        <w:rPr>
          <w:rStyle w:val="Text0"/>
        </w:rPr>
        <w:t>custom development</w:t>
      </w:r>
      <w:r>
        <w:t xml:space="preserve"> to </w:t>
      </w:r>
    </w:p>
    <w:p>
      <w:pPr>
        <w:pStyle w:val="Normal"/>
      </w:pPr>
      <w:r>
        <w:t xml:space="preserve">function in your </w:t>
      </w:r>
      <w:r>
        <w:rPr>
          <w:rStyle w:val="Text0"/>
        </w:rPr>
        <w:t>custom environment</w:t>
      </w:r>
      <w:r>
        <w:t xml:space="preserve"> is an often-overlooked aspect of internally developed or contracted applications. Establish your requirements up front and avoid problems in deployment </w:t>
      </w:r>
    </w:p>
    <w:p>
      <w:pPr>
        <w:pStyle w:val="Normal"/>
      </w:pPr>
      <w:r>
        <w:t xml:space="preserve">and compatibility down the road (for more information about how to do so, see the sidebar </w:t>
      </w:r>
    </w:p>
    <w:p>
      <w:pPr>
        <w:pStyle w:val="Normal"/>
      </w:pPr>
      <w:r>
        <w:t xml:space="preserve">“Establish Installation Requirements.”) </w:t>
      </w:r>
    </w:p>
    <w:p>
      <w:pPr>
        <w:pStyle w:val="Para 25"/>
      </w:pPr>
      <w:r>
        <w:t/>
      </w:r>
    </w:p>
    <w:p>
      <w:pPr>
        <w:pStyle w:val="Para 19"/>
      </w:pPr>
      <w:r>
        <w:t xml:space="preserve">Establish Installation Requirements </w:t>
      </w:r>
    </w:p>
    <w:p>
      <w:pPr>
        <w:pStyle w:val="Para 03"/>
      </w:pPr>
      <w:r>
        <w:t xml:space="preserve">When custom software is developed for an organization, it is naturally the functionality of the application </w:t>
        <w:t xml:space="preserve">that is of paramount concern—so much so that little attention is given to installation, which can cause </w:t>
        <w:t xml:space="preserve">great expense when you begin to attempt to integrate the application into your environment. </w:t>
        <w:t xml:space="preserve">Reengineering or repackaging the setup of an application developed especially for your organization is a </w:t>
        <w:t xml:space="preserve">wasteful process that introduces unnecessary risk. Some points to consider: </w:t>
      </w:r>
    </w:p>
    <w:p>
      <w:pPr>
        <w:pStyle w:val="Para 03"/>
      </w:pPr>
      <w:r>
        <w:t>●</w:t>
      </w:r>
      <w:r>
        <w:rPr>
          <w:rStyle w:val="Text2"/>
        </w:rPr>
        <w:t xml:space="preserve"> </w:t>
      </w:r>
      <w:r>
        <w:t xml:space="preserve">Provide documentation about your build process. If an image is used, provide a copy for use by your </w:t>
      </w:r>
    </w:p>
    <w:p>
      <w:pPr>
        <w:pStyle w:val="Para 03"/>
      </w:pPr>
      <w:r>
        <w:t xml:space="preserve">internal development staff or contracted companies. If your image only works on certain hardware, give </w:t>
        <w:t xml:space="preserve">contractors or developers (or have them purchase their own) compatible hardware. It is important that </w:t>
        <w:t xml:space="preserve">developers understand the environment in which their applications will be deployed in order to avoid </w:t>
        <w:t xml:space="preserve">assumptions that might cause alteration for the application to comply with reality. </w:t>
      </w:r>
    </w:p>
    <w:p>
      <w:pPr>
        <w:pStyle w:val="Para 03"/>
      </w:pPr>
      <w:r>
        <w:t>●</w:t>
      </w:r>
      <w:r>
        <w:rPr>
          <w:rStyle w:val="Text2"/>
        </w:rPr>
        <w:t xml:space="preserve"> </w:t>
      </w:r>
      <w:r>
        <w:t xml:space="preserve">Provide system and Group Policy information, particularly those that enforce security settings. If </w:t>
      </w:r>
    </w:p>
    <w:p>
      <w:pPr>
        <w:pStyle w:val="Para 03"/>
      </w:pPr>
      <w:r>
        <w:t xml:space="preserve">areas of your baseline hard drive might not be written to by users, make sure that the development team </w:t>
        <w:t xml:space="preserve">understands where they </w:t>
      </w:r>
      <w:r>
        <w:rPr>
          <w:rStyle w:val="Text0"/>
        </w:rPr>
        <w:t>may</w:t>
      </w:r>
      <w:r>
        <w:t xml:space="preserve"> store data or configuration files. Often working in an environment in which </w:t>
        <w:t xml:space="preserve">users function as administrators of their workstations, it might not be apparent that in your environment </w:t>
        <w:t xml:space="preserve">users may not write to common user areas, particularly the HKEY_LOCAL_MACHINE hive of the registry. </w:t>
        <w:t xml:space="preserve">It is important that this possibility be communicated to avoid modifications to your baseline security in </w:t>
        <w:t xml:space="preserve">order to support the application. </w:t>
      </w:r>
    </w:p>
    <w:p>
      <w:pPr>
        <w:pStyle w:val="Para 03"/>
      </w:pPr>
      <w:r>
        <w:t>●</w:t>
      </w:r>
      <w:r>
        <w:rPr>
          <w:rStyle w:val="Text2"/>
        </w:rPr>
        <w:t xml:space="preserve"> </w:t>
      </w:r>
      <w:r>
        <w:t xml:space="preserve">As stated previously, MDAC, JRE, ODBC, and Oracle Client are just some of the components that </w:t>
      </w:r>
    </w:p>
    <w:p>
      <w:pPr>
        <w:pStyle w:val="Para 03"/>
      </w:pPr>
      <w:r>
        <w:t xml:space="preserve">applications may be dependant upon. For example, if your environment is at MDAC 2.6, it is important </w:t>
        <w:t xml:space="preserve">that developers not develop their application using functionality not available until MDAC 2.7. </w:t>
      </w:r>
    </w:p>
    <w:p>
      <w:pPr>
        <w:pStyle w:val="Para 03"/>
      </w:pPr>
      <w:r>
        <w:t>●</w:t>
      </w:r>
      <w:r>
        <w:rPr>
          <w:rStyle w:val="Text2"/>
        </w:rPr>
        <w:t xml:space="preserve"> </w:t>
      </w:r>
      <w:r>
        <w:t xml:space="preserve">Demand a Windows Installer installation package. MSI is well documented with several powerful </w:t>
      </w:r>
    </w:p>
    <w:p>
      <w:pPr>
        <w:pStyle w:val="Para 03"/>
      </w:pPr>
      <w:r>
        <w:t xml:space="preserve">tools available to create installation packages. It is a very “administrator friendly” format that provides you </w:t>
        <w:t xml:space="preserve">with maximum control and deployment options. Of course, a bad MSI package can cause problems as </w:t>
        <w:t xml:space="preserve">well—require that Windows Installer validation tools be used to ensure that MSI rules are followed. In </w:t>
        <w:t xml:space="preserve">particular, I recommend you require MSI validation be performed using the Independency Consistency </w:t>
        <w:t xml:space="preserve">Evaluator (ICE). This tool is a feature of most MSI tools and is available free in the Windows Installer </w:t>
        <w:t xml:space="preserve">SDK. </w:t>
      </w:r>
    </w:p>
    <w:p>
      <w:pPr>
        <w:pStyle w:val="Para 25"/>
      </w:pPr>
      <w:r>
        <w:t/>
      </w:r>
    </w:p>
    <w:p>
      <w:pPr>
        <w:pStyle w:val="Para 07"/>
      </w:pPr>
      <w:r>
        <w:t xml:space="preserve">Package Research </w:t>
      </w:r>
    </w:p>
    <w:p>
      <w:pPr>
        <w:pStyle w:val="Normal"/>
      </w:pPr>
      <w:r>
        <w:t xml:space="preserve">Although many organizations will restrict themselves to one or two packaging (automated installation) methods, it’s wise to review all of your options before moving forward. Being </w:t>
      </w:r>
    </w:p>
    <w:p>
      <w:pPr>
        <w:pStyle w:val="Normal"/>
      </w:pPr>
      <w:r>
        <w:t xml:space="preserve">consistent about creating packages for your software deployments has its benefits—for example, </w:t>
      </w:r>
    </w:p>
    <w:p>
      <w:pPr>
        <w:pStyle w:val="Normal"/>
      </w:pPr>
      <w:r>
        <w:t xml:space="preserve">you might document and become very proficient with the method you choose.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31" name="index-101_1.png" descr="index-101_1.png"/>
            <wp:cNvGraphicFramePr>
              <a:graphicFrameLocks noChangeAspect="1"/>
            </wp:cNvGraphicFramePr>
            <a:graphic>
              <a:graphicData uri="http://schemas.openxmlformats.org/drawingml/2006/picture">
                <pic:pic>
                  <pic:nvPicPr>
                    <pic:cNvPr id="0" name="index-101_1.png" descr="index-101_1.png"/>
                    <pic:cNvPicPr/>
                  </pic:nvPicPr>
                  <pic:blipFill>
                    <a:blip r:embed="rId23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32" name="index-101_2.png" descr="index-101_2.png"/>
            <wp:cNvGraphicFramePr>
              <a:graphicFrameLocks noChangeAspect="1"/>
            </wp:cNvGraphicFramePr>
            <a:graphic>
              <a:graphicData uri="http://schemas.openxmlformats.org/drawingml/2006/picture">
                <pic:pic>
                  <pic:nvPicPr>
                    <pic:cNvPr id="0" name="index-101_2.png" descr="index-101_2.png"/>
                    <pic:cNvPicPr/>
                  </pic:nvPicPr>
                  <pic:blipFill>
                    <a:blip r:embed="rId236"/>
                    <a:stretch>
                      <a:fillRect/>
                    </a:stretch>
                  </pic:blipFill>
                  <pic:spPr>
                    <a:xfrm>
                      <a:off x="0" y="0"/>
                      <a:ext cx="914400" cy="444500"/>
                    </a:xfrm>
                    <a:prstGeom prst="rect">
                      <a:avLst/>
                    </a:prstGeom>
                  </pic:spPr>
                </pic:pic>
              </a:graphicData>
            </a:graphic>
          </wp:anchor>
        </w:drawing>
      </w:r>
    </w:p>
    <w:p>
      <w:pPr>
        <w:pStyle w:val="0 Block"/>
      </w:pPr>
    </w:p>
    <w:p>
      <w:bookmarkStart w:id="107" w:name="Chapter_4_6"/>
      <w:pPr>
        <w:pStyle w:val="Heading 1"/>
        <w:pageBreakBefore w:val="on"/>
      </w:pPr>
      <w:r>
        <w:t>Chapter 4</w:t>
      </w:r>
      <w:bookmarkEnd w:id="107"/>
    </w:p>
    <w:p>
      <w:pPr>
        <w:pStyle w:val="Para 25"/>
      </w:pPr>
      <w:r>
        <w:t/>
      </w:r>
    </w:p>
    <w:p>
      <w:pPr>
        <w:pStyle w:val="Normal"/>
      </w:pPr>
      <w:r>
        <w:t xml:space="preserve">Some environments are restricted to the use of proprietary repackaging formats (potentially a </w:t>
      </w:r>
    </w:p>
    <w:p>
      <w:pPr>
        <w:pStyle w:val="Normal"/>
      </w:pPr>
      <w:r>
        <w:t xml:space="preserve">limit of your deployment system). For example, although not a proprietary format, environments </w:t>
      </w:r>
    </w:p>
    <w:p>
      <w:pPr>
        <w:pStyle w:val="Normal"/>
      </w:pPr>
      <w:r>
        <w:t xml:space="preserve">that rely upon the assignment of Group Policy Objects (GPO) as a method of deploying software are restricted to using the Windows Installer (MSI) package format. In a situation such as this, in </w:t>
      </w:r>
    </w:p>
    <w:p>
      <w:pPr>
        <w:pStyle w:val="Normal"/>
      </w:pPr>
      <w:r>
        <w:t xml:space="preserve">which you have a single means of deploying software, you might well need to focus your </w:t>
      </w:r>
    </w:p>
    <w:p>
      <w:pPr>
        <w:pStyle w:val="Normal"/>
      </w:pPr>
      <w:r>
        <w:t xml:space="preserve">packaging on one particular method. In the following section, we will cover several common packaging methods. </w:t>
      </w:r>
    </w:p>
    <w:p>
      <w:pPr>
        <w:pStyle w:val="Para 25"/>
      </w:pPr>
      <w:r>
        <w:t/>
      </w:r>
    </w:p>
    <w:p>
      <w:pPr>
        <w:pStyle w:val="Para 09"/>
      </w:pPr>
      <w:r>
        <w:t xml:space="preserve">MSI </w:t>
      </w:r>
    </w:p>
    <w:p>
      <w:pPr>
        <w:pStyle w:val="Para 25"/>
      </w:pPr>
      <w:r>
        <w:t/>
      </w:r>
    </w:p>
    <w:p>
      <w:pPr>
        <w:pStyle w:val="Normal"/>
      </w:pPr>
      <w:r>
        <w:t xml:space="preserve">Microsoft’s Windows Installer (MSI) setup format was first introduced with the release of </w:t>
      </w:r>
    </w:p>
    <w:p>
      <w:pPr>
        <w:pStyle w:val="Normal"/>
      </w:pPr>
      <w:r>
        <w:t xml:space="preserve">Microsoft Office 2000. This introduction provided a documented standard for installation with rules, structure, and format. MSI files are databases of installation components and instructions </w:t>
      </w:r>
    </w:p>
    <w:p>
      <w:pPr>
        <w:pStyle w:val="Normal"/>
      </w:pPr>
      <w:r>
        <w:t xml:space="preserve">that all follow the same rules regardless of the tools used to generate them. Among quite a few </w:t>
      </w:r>
    </w:p>
    <w:p>
      <w:pPr>
        <w:pStyle w:val="Normal"/>
      </w:pPr>
      <w:r>
        <w:t xml:space="preserve">other features, MSI files offers support for a command-line driven, silent installation using the following options: </w:t>
      </w:r>
    </w:p>
    <w:p>
      <w:pPr>
        <w:pStyle w:val="Para 25"/>
      </w:pPr>
      <w:r>
        <w:t/>
      </w:r>
    </w:p>
    <w:p>
      <w:pPr>
        <w:pStyle w:val="Para 04"/>
      </w:pPr>
      <w:r>
        <w:t xml:space="preserve">• /qn—No user interface whatsoever </w:t>
      </w:r>
    </w:p>
    <w:p>
      <w:pPr>
        <w:pStyle w:val="Para 25"/>
      </w:pPr>
      <w:r>
        <w:t/>
      </w:r>
    </w:p>
    <w:p>
      <w:pPr>
        <w:pStyle w:val="Para 04"/>
      </w:pPr>
      <w:r>
        <w:t xml:space="preserve">• /qb—Basic user interface (progress bar only) with no modal dialog boxes </w:t>
      </w:r>
    </w:p>
    <w:p>
      <w:pPr>
        <w:pStyle w:val="Para 25"/>
      </w:pPr>
      <w:r>
        <w:t/>
      </w:r>
    </w:p>
    <w:p>
      <w:pPr>
        <w:pStyle w:val="Para 04"/>
      </w:pPr>
      <w:r>
        <w:t xml:space="preserve">• /qb!—Same as previous listing, but with Cancel button disabled </w:t>
      </w:r>
    </w:p>
    <w:p>
      <w:pPr>
        <w:pStyle w:val="Para 25"/>
      </w:pPr>
      <w:r>
        <w:t/>
      </w:r>
    </w:p>
    <w:p>
      <w:pPr>
        <w:pStyle w:val="Normal"/>
      </w:pPr>
      <w:r>
        <w:t xml:space="preserve">In addition to these options for silencing installation from the command line, you can use public </w:t>
      </w:r>
    </w:p>
    <w:p>
      <w:pPr>
        <w:pStyle w:val="Normal"/>
      </w:pPr>
      <w:r>
        <w:t xml:space="preserve">properties (variables within an installation that can be dictated at the command line) to customize the installation even further. The following list provides several properties that might be helpful </w:t>
      </w:r>
    </w:p>
    <w:p>
      <w:pPr>
        <w:pStyle w:val="Normal"/>
      </w:pPr>
      <w:r>
        <w:t xml:space="preserve">in a command-line installation (for more information about these properties, see the Windows </w:t>
      </w:r>
    </w:p>
    <w:p>
      <w:pPr>
        <w:pStyle w:val="Normal"/>
      </w:pPr>
      <w:r>
        <w:t xml:space="preserve">Installer SDK): </w:t>
      </w:r>
    </w:p>
    <w:p>
      <w:pPr>
        <w:pStyle w:val="Para 25"/>
      </w:pPr>
      <w:r>
        <w:t/>
      </w:r>
    </w:p>
    <w:p>
      <w:pPr>
        <w:pStyle w:val="Para 04"/>
      </w:pPr>
      <w:r>
        <w:t xml:space="preserve">• </w:t>
        <w:t xml:space="preserve">REBOOT—Dictates how the system handles reboot requirements by dictating whether </w:t>
      </w:r>
    </w:p>
    <w:p>
      <w:pPr>
        <w:pStyle w:val="Para 01"/>
      </w:pPr>
      <w:r>
        <w:t xml:space="preserve">Windows Installer should force, suppress, or </w:t>
      </w:r>
      <w:r>
        <w:rPr>
          <w:rStyle w:val="Text0"/>
        </w:rPr>
        <w:t>reallysuppress</w:t>
      </w:r>
      <w:r>
        <w:t xml:space="preserve"> the reboot action. The use of </w:t>
      </w:r>
    </w:p>
    <w:p>
      <w:pPr>
        <w:pStyle w:val="Para 01"/>
      </w:pPr>
      <w:r>
        <w:t xml:space="preserve">force is clear, but the difference between suppress and reallysupress is that suppress will </w:t>
      </w:r>
    </w:p>
    <w:p>
      <w:pPr>
        <w:pStyle w:val="Para 01"/>
      </w:pPr>
      <w:r>
        <w:t xml:space="preserve">cause an automated reboot if the installation is being run silently (reallysuppress bypasses </w:t>
      </w:r>
    </w:p>
    <w:p>
      <w:pPr>
        <w:pStyle w:val="Para 01"/>
      </w:pPr>
      <w:r>
        <w:t xml:space="preserve">the reboot action regardless of how the MSI is being run). </w:t>
      </w:r>
    </w:p>
    <w:p>
      <w:pPr>
        <w:pStyle w:val="Para 25"/>
      </w:pPr>
      <w:r>
        <w:t/>
      </w:r>
    </w:p>
    <w:p>
      <w:pPr>
        <w:pStyle w:val="Para 04"/>
      </w:pPr>
      <w:r>
        <w:t xml:space="preserve">• ALLUSERS—Unlike legacy setups that specify a full path to where shortcuts and </w:t>
      </w:r>
    </w:p>
    <w:p>
      <w:pPr>
        <w:pStyle w:val="Para 01"/>
      </w:pPr>
      <w:r>
        <w:t xml:space="preserve">configuration information are to be stored, MSI handles this itself. Depending upon </w:t>
      </w:r>
    </w:p>
    <w:p>
      <w:pPr>
        <w:pStyle w:val="Para 01"/>
      </w:pPr>
      <w:r>
        <w:t xml:space="preserve">whether the installation is being performed for the user or the computer, shortcuts are </w:t>
      </w:r>
    </w:p>
    <w:p>
      <w:pPr>
        <w:pStyle w:val="Para 01"/>
      </w:pPr>
      <w:r>
        <w:t xml:space="preserve">placed in the user profile or the All Users profile as appropriate. The ALLUSERS property allows control of this behavior from the command line. </w:t>
      </w:r>
    </w:p>
    <w:p>
      <w:pPr>
        <w:pStyle w:val="Para 25"/>
      </w:pPr>
      <w:r>
        <w:t/>
      </w:r>
    </w:p>
    <w:p>
      <w:pPr>
        <w:pStyle w:val="Para 04"/>
      </w:pPr>
      <w:r>
        <w:t xml:space="preserve">• </w:t>
        <w:t xml:space="preserve">INSTALLDIR—Specifies the directory in which the application should be installed. A </w:t>
      </w:r>
    </w:p>
    <w:p>
      <w:pPr>
        <w:pStyle w:val="Para 01"/>
      </w:pPr>
      <w:r>
        <w:t xml:space="preserve">default directory will always be specified within the MSI, but you may alter this location </w:t>
      </w:r>
    </w:p>
    <w:p>
      <w:pPr>
        <w:pStyle w:val="Para 01"/>
      </w:pPr>
      <w:r>
        <w:t xml:space="preserve">using the INSTALLDIR property. </w:t>
      </w:r>
    </w:p>
    <w:p>
      <w:pPr>
        <w:pStyle w:val="Para 25"/>
      </w:pPr>
      <w:r>
        <w:t/>
      </w:r>
    </w:p>
    <w:p>
      <w:pPr>
        <w:pStyle w:val="Para 04"/>
      </w:pPr>
      <w:r>
        <w:t xml:space="preserve">• </w:t>
        <w:t xml:space="preserve">ROOTDRIVE—By default, the Windows Installer will choose the fixed drive with the </w:t>
      </w:r>
    </w:p>
    <w:p>
      <w:pPr>
        <w:pStyle w:val="Para 01"/>
      </w:pPr>
      <w:r>
        <w:t xml:space="preserve">largest amount of free space as the destination drive for an installation. To override this </w:t>
      </w:r>
    </w:p>
    <w:p>
      <w:pPr>
        <w:pStyle w:val="Para 01"/>
      </w:pPr>
      <w:r>
        <w:t xml:space="preserve">behavior, you can specify a drive letter (include a trailing backslash when specifying a </w:t>
      </w:r>
    </w:p>
    <w:p>
      <w:pPr>
        <w:pStyle w:val="Para 01"/>
      </w:pPr>
      <w:r>
        <w:t xml:space="preserve">value for this property).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33" name="index-102_1.png" descr="index-102_1.png"/>
            <wp:cNvGraphicFramePr>
              <a:graphicFrameLocks noChangeAspect="1"/>
            </wp:cNvGraphicFramePr>
            <a:graphic>
              <a:graphicData uri="http://schemas.openxmlformats.org/drawingml/2006/picture">
                <pic:pic>
                  <pic:nvPicPr>
                    <pic:cNvPr id="0" name="index-102_1.png" descr="index-102_1.png"/>
                    <pic:cNvPicPr/>
                  </pic:nvPicPr>
                  <pic:blipFill>
                    <a:blip r:embed="rId23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34" name="index-102_2.png" descr="index-102_2.png"/>
            <wp:cNvGraphicFramePr>
              <a:graphicFrameLocks noChangeAspect="1"/>
            </wp:cNvGraphicFramePr>
            <a:graphic>
              <a:graphicData uri="http://schemas.openxmlformats.org/drawingml/2006/picture">
                <pic:pic>
                  <pic:nvPicPr>
                    <pic:cNvPr id="0" name="index-102_2.png" descr="index-102_2.png"/>
                    <pic:cNvPicPr/>
                  </pic:nvPicPr>
                  <pic:blipFill>
                    <a:blip r:embed="rId238"/>
                    <a:stretch>
                      <a:fillRect/>
                    </a:stretch>
                  </pic:blipFill>
                  <pic:spPr>
                    <a:xfrm>
                      <a:off x="0" y="0"/>
                      <a:ext cx="914400" cy="444500"/>
                    </a:xfrm>
                    <a:prstGeom prst="rect">
                      <a:avLst/>
                    </a:prstGeom>
                  </pic:spPr>
                </pic:pic>
              </a:graphicData>
            </a:graphic>
          </wp:anchor>
        </w:drawing>
      </w:r>
    </w:p>
    <w:p>
      <w:pPr>
        <w:pStyle w:val="0 Block"/>
      </w:pPr>
    </w:p>
    <w:p>
      <w:bookmarkStart w:id="108" w:name="Chapter_4_7"/>
      <w:pPr>
        <w:pStyle w:val="Heading 1"/>
        <w:pageBreakBefore w:val="on"/>
      </w:pPr>
      <w:r>
        <w:t>Chapter 4</w:t>
      </w:r>
      <w:bookmarkEnd w:id="108"/>
    </w:p>
    <w:p>
      <w:pPr>
        <w:pStyle w:val="Para 25"/>
      </w:pPr>
      <w:r>
        <w:t/>
      </w:r>
    </w:p>
    <w:p>
      <w:pPr>
        <w:pStyle w:val="Para 04"/>
      </w:pPr>
      <w:r>
        <w:t xml:space="preserve">• </w:t>
        <w:t xml:space="preserve">ARP—Several properties are available for controlling how an installation is presented </w:t>
      </w:r>
    </w:p>
    <w:p>
      <w:pPr>
        <w:pStyle w:val="Para 01"/>
      </w:pPr>
      <w:r>
        <w:t xml:space="preserve">within the Add/Remove Programs applet. For more documentation about properties that </w:t>
      </w:r>
    </w:p>
    <w:p>
      <w:pPr>
        <w:pStyle w:val="Para 01"/>
      </w:pPr>
      <w:r>
        <w:t xml:space="preserve">control the behavior of the Add/Remove programs listing for an application, see the </w:t>
      </w:r>
    </w:p>
    <w:p>
      <w:pPr>
        <w:pStyle w:val="Para 01"/>
      </w:pPr>
      <w:r>
        <w:t xml:space="preserve">AppDeploy.com FAQ listing on the subject at http://appdeploy.com/faq/detail.asp?id=58. </w:t>
      </w:r>
    </w:p>
    <w:p>
      <w:pPr>
        <w:pStyle w:val="Para 25"/>
      </w:pPr>
      <w:r>
        <w:t/>
      </w:r>
    </w:p>
    <w:p>
      <w:pPr>
        <w:pStyle w:val="Para 02"/>
      </w:pPr>
      <w:r>
        <w:t xml:space="preserve">Public properties are always identified in upper case. It is these public properties that you can set at </w:t>
      </w:r>
    </w:p>
    <w:p>
      <w:pPr>
        <w:pStyle w:val="Para 02"/>
      </w:pPr>
      <w:r>
        <w:t xml:space="preserve">the command line. </w:t>
      </w:r>
    </w:p>
    <w:p>
      <w:pPr>
        <w:pStyle w:val="Para 25"/>
      </w:pPr>
      <w:r>
        <w:t/>
      </w:r>
    </w:p>
    <w:p>
      <w:pPr>
        <w:pStyle w:val="Normal"/>
      </w:pPr>
      <w:r>
        <w:t xml:space="preserve">Environments that utilize AD’s Group Policy as a means of software distribution are limited to </w:t>
      </w:r>
    </w:p>
    <w:p>
      <w:pPr>
        <w:pStyle w:val="Normal"/>
      </w:pPr>
      <w:r>
        <w:t xml:space="preserve">this format when assigning software to computers. Because many software vendors have not </w:t>
      </w:r>
    </w:p>
    <w:p>
      <w:pPr>
        <w:pStyle w:val="Normal"/>
      </w:pPr>
      <w:r>
        <w:t xml:space="preserve">moved to the MSI setup format, administrators today often repackage installations into this format. Repackaging is covered later in this section. </w:t>
      </w:r>
    </w:p>
    <w:p>
      <w:pPr>
        <w:pStyle w:val="Para 25"/>
      </w:pPr>
      <w:r>
        <w:t/>
      </w:r>
    </w:p>
    <w:p>
      <w:pPr>
        <w:pStyle w:val="Para 02"/>
      </w:pPr>
      <w:r>
        <w:t xml:space="preserve">For more information about Windows Installer, see Jeremy Moskowitz and Darwin Sanoy’s </w:t>
      </w:r>
      <w:r>
        <w:rPr>
          <w:rStyle w:val="Text0"/>
        </w:rPr>
        <w:t xml:space="preserve">The </w:t>
      </w:r>
    </w:p>
    <w:p>
      <w:pPr>
        <w:pStyle w:val="Para 29"/>
      </w:pPr>
      <w:r>
        <w:t>Definitive Guide to Windows Installer Technology for System Administrators</w:t>
      </w:r>
      <w:r>
        <w:rPr>
          <w:rStyle w:val="Text0"/>
        </w:rPr>
        <w:t xml:space="preserve"> (Realtimepublishers) at </w:t>
      </w:r>
    </w:p>
    <w:p>
      <w:pPr>
        <w:pStyle w:val="Para 02"/>
      </w:pPr>
      <w:r>
        <w:t xml:space="preserve">http://www.realtimepublishers.com. </w:t>
      </w:r>
    </w:p>
    <w:p>
      <w:pPr>
        <w:pStyle w:val="Para 25"/>
      </w:pPr>
      <w:r>
        <w:t/>
      </w:r>
    </w:p>
    <w:p>
      <w:pPr>
        <w:pStyle w:val="Normal"/>
      </w:pPr>
      <w:r>
        <w:t xml:space="preserve">There are an increasing number of vendors making their software available in the MSI format. </w:t>
      </w:r>
    </w:p>
    <w:p>
      <w:pPr>
        <w:pStyle w:val="Normal"/>
      </w:pPr>
      <w:r>
        <w:t xml:space="preserve">The development of MSI packages can be a complex process, which has been the primary reason this format has taken so long to catch on. As a bit of encouragement, Microsoft has made the </w:t>
      </w:r>
    </w:p>
    <w:p>
      <w:pPr>
        <w:pStyle w:val="Normal"/>
      </w:pPr>
      <w:r>
        <w:t xml:space="preserve">availability of an MSI setup a Win2K and Windows XP logo requirement. When it comes to the </w:t>
      </w:r>
    </w:p>
    <w:p>
      <w:pPr>
        <w:pStyle w:val="Normal"/>
      </w:pPr>
      <w:r>
        <w:t xml:space="preserve">MSI setup format, there are no specific implementations; all kinds of software from games to business software are available as MSI setups. </w:t>
      </w:r>
    </w:p>
    <w:p>
      <w:pPr>
        <w:pStyle w:val="Para 25"/>
      </w:pPr>
      <w:r>
        <w:t/>
      </w:r>
    </w:p>
    <w:p>
      <w:pPr>
        <w:pStyle w:val="Normal"/>
      </w:pPr>
      <w:r>
        <w:t xml:space="preserve">Is that setup an MSI? Just because you see a setup.exe at the root of your installation CD-ROM </w:t>
      </w:r>
    </w:p>
    <w:p>
      <w:pPr>
        <w:pStyle w:val="Normal"/>
      </w:pPr>
      <w:r>
        <w:t xml:space="preserve">does not mean it is not an MSI setup. Because people expect to see a setup.exe, and because not </w:t>
      </w:r>
    </w:p>
    <w:p>
      <w:pPr>
        <w:pStyle w:val="Normal"/>
      </w:pPr>
      <w:r>
        <w:t xml:space="preserve">every machine has the Windows Installer service installed, a setup.exe is often provided. The executable first checks to see whether the required version of Windows Installer is present on the </w:t>
      </w:r>
    </w:p>
    <w:p>
      <w:pPr>
        <w:pStyle w:val="Normal"/>
      </w:pPr>
      <w:r>
        <w:t xml:space="preserve">machine. If it is not, it gets installed and the MSI setup is initiated. If the desired version is </w:t>
      </w:r>
    </w:p>
    <w:p>
      <w:pPr>
        <w:pStyle w:val="Normal"/>
      </w:pPr>
      <w:r>
        <w:t xml:space="preserve">present, it simply calls the MSI setup. If the MSI file itself is stored in a subdirectory rather than the root of the CD-ROM, the situation can be confusing. A giveaway that an MSI setup is </w:t>
      </w:r>
    </w:p>
    <w:p>
      <w:pPr>
        <w:pStyle w:val="Normal"/>
      </w:pPr>
      <w:r>
        <w:t xml:space="preserve">initiated is, of course, the display of a Windows Installer dialog box when the setup is launched; </w:t>
      </w:r>
    </w:p>
    <w:p>
      <w:pPr>
        <w:pStyle w:val="Normal"/>
      </w:pPr>
      <w:r>
        <w:t xml:space="preserve">you can also be reasonably sure you are dealing with an MSI if you see the Windows Installer setup files in the directory with the setup.exe (see Figure 4.2). There are two such files, one for </w:t>
      </w:r>
    </w:p>
    <w:p>
      <w:pPr>
        <w:pStyle w:val="Normal"/>
      </w:pPr>
      <w:r>
        <w:t xml:space="preserve">Windows 95/98/ME systems and one for NT, Win2K, and Windows XP systems: InstMsiA.exe </w:t>
      </w:r>
    </w:p>
    <w:p>
      <w:pPr>
        <w:pStyle w:val="Normal"/>
      </w:pPr>
      <w:r>
        <w:t xml:space="preserve">and InstMsiW.exe, respectively.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35" name="index-103_1.png" descr="index-103_1.png"/>
            <wp:cNvGraphicFramePr>
              <a:graphicFrameLocks noChangeAspect="1"/>
            </wp:cNvGraphicFramePr>
            <a:graphic>
              <a:graphicData uri="http://schemas.openxmlformats.org/drawingml/2006/picture">
                <pic:pic>
                  <pic:nvPicPr>
                    <pic:cNvPr id="0" name="index-103_1.png" descr="index-103_1.png"/>
                    <pic:cNvPicPr/>
                  </pic:nvPicPr>
                  <pic:blipFill>
                    <a:blip r:embed="rId23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36" name="index-103_2.png" descr="index-103_2.png"/>
            <wp:cNvGraphicFramePr>
              <a:graphicFrameLocks noChangeAspect="1"/>
            </wp:cNvGraphicFramePr>
            <a:graphic>
              <a:graphicData uri="http://schemas.openxmlformats.org/drawingml/2006/picture">
                <pic:pic>
                  <pic:nvPicPr>
                    <pic:cNvPr id="0" name="index-103_2.png" descr="index-103_2.png"/>
                    <pic:cNvPicPr/>
                  </pic:nvPicPr>
                  <pic:blipFill>
                    <a:blip r:embed="rId240"/>
                    <a:stretch>
                      <a:fillRect/>
                    </a:stretch>
                  </pic:blipFill>
                  <pic:spPr>
                    <a:xfrm>
                      <a:off x="0" y="0"/>
                      <a:ext cx="914400" cy="444500"/>
                    </a:xfrm>
                    <a:prstGeom prst="rect">
                      <a:avLst/>
                    </a:prstGeom>
                  </pic:spPr>
                </pic:pic>
              </a:graphicData>
            </a:graphic>
          </wp:anchor>
        </w:drawing>
      </w:r>
    </w:p>
    <w:p>
      <w:pPr>
        <w:pStyle w:val="0 Block"/>
      </w:pPr>
    </w:p>
    <w:p>
      <w:bookmarkStart w:id="109" w:name="Chapter_4_8"/>
      <w:pPr>
        <w:pStyle w:val="Heading 1"/>
        <w:pageBreakBefore w:val="on"/>
      </w:pPr>
      <w:r>
        <w:t>Chapter 4</w:t>
      </w:r>
      <w:bookmarkEnd w:id="10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425700"/>
            <wp:effectExtent l="0" r="0" t="0" b="0"/>
            <wp:wrapTopAndBottom/>
            <wp:docPr id="237" name="index-104_1.png" descr="index-104_1.png"/>
            <wp:cNvGraphicFramePr>
              <a:graphicFrameLocks noChangeAspect="1"/>
            </wp:cNvGraphicFramePr>
            <a:graphic>
              <a:graphicData uri="http://schemas.openxmlformats.org/drawingml/2006/picture">
                <pic:pic>
                  <pic:nvPicPr>
                    <pic:cNvPr id="0" name="index-104_1.png" descr="index-104_1.png"/>
                    <pic:cNvPicPr/>
                  </pic:nvPicPr>
                  <pic:blipFill>
                    <a:blip r:embed="rId241"/>
                    <a:stretch>
                      <a:fillRect/>
                    </a:stretch>
                  </pic:blipFill>
                  <pic:spPr>
                    <a:xfrm>
                      <a:off x="0" y="0"/>
                      <a:ext cx="3810000" cy="24257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4.2: Directory of MSI Installation with Setup.exe and Windows Installer support files. </w:t>
      </w:r>
    </w:p>
    <w:p>
      <w:pPr>
        <w:pStyle w:val="Para 25"/>
      </w:pPr>
      <w:r>
        <w:t/>
      </w:r>
    </w:p>
    <w:p>
      <w:pPr>
        <w:pStyle w:val="Para 02"/>
      </w:pPr>
      <w:r>
        <w:t xml:space="preserve">You should never repackage an MSI setup. You might be able to generate a successful installation by </w:t>
      </w:r>
    </w:p>
    <w:p>
      <w:pPr>
        <w:pStyle w:val="Para 02"/>
      </w:pPr>
      <w:r>
        <w:t xml:space="preserve">doing so, but upgrading or removing the installation will cause you big trouble down the road. Before </w:t>
      </w:r>
    </w:p>
    <w:p>
      <w:pPr>
        <w:pStyle w:val="Para 02"/>
      </w:pPr>
      <w:r>
        <w:t xml:space="preserve">repackaging, make certain you are not dealing with an MSI setup. Self-extracting archives that </w:t>
      </w:r>
    </w:p>
    <w:p>
      <w:pPr>
        <w:pStyle w:val="Para 02"/>
      </w:pPr>
      <w:r>
        <w:t xml:space="preserve">contain MSI setups can trick you into thinking that the setup you are working with is not an MSI. See </w:t>
      </w:r>
    </w:p>
    <w:p>
      <w:pPr>
        <w:pStyle w:val="Para 02"/>
      </w:pPr>
      <w:r>
        <w:t xml:space="preserve">the sidebar “Accessing Source Files Within Self-Extracting Executables” later in this chapter for more </w:t>
      </w:r>
    </w:p>
    <w:p>
      <w:pPr>
        <w:pStyle w:val="Para 02"/>
      </w:pPr>
      <w:r>
        <w:t xml:space="preserve">information. </w:t>
      </w:r>
    </w:p>
    <w:p>
      <w:pPr>
        <w:pStyle w:val="Para 25"/>
      </w:pPr>
      <w:r>
        <w:t/>
      </w:r>
    </w:p>
    <w:p>
      <w:pPr>
        <w:pStyle w:val="Para 17"/>
      </w:pPr>
      <w:r>
        <w:t xml:space="preserve">Benefits </w:t>
      </w:r>
    </w:p>
    <w:p>
      <w:pPr>
        <w:pStyle w:val="Normal"/>
      </w:pPr>
      <w:r>
        <w:t xml:space="preserve">Complete control of an MSI setup can be realized without modifying the vendor’s MSI directly thorough the use of transform (MST) files. You can use an MST to specify which features to </w:t>
      </w:r>
    </w:p>
    <w:p>
      <w:pPr>
        <w:pStyle w:val="Normal"/>
      </w:pPr>
      <w:r>
        <w:t xml:space="preserve">include, move or delete shortcuts, and add files or registry entries. Some software vendors have </w:t>
      </w:r>
    </w:p>
    <w:p>
      <w:pPr>
        <w:pStyle w:val="Normal"/>
      </w:pPr>
      <w:r>
        <w:t xml:space="preserve">even provided MST creation wizards to facilitate the customization of your deployment. Microsoft Office provides a Custom Installation Wizard to generate an MST, and many software </w:t>
      </w:r>
    </w:p>
    <w:p>
      <w:pPr>
        <w:pStyle w:val="Normal"/>
      </w:pPr>
      <w:r>
        <w:t xml:space="preserve">vendors have licensed InstallShield’s Tuner product to provide similar functionality, including </w:t>
      </w:r>
    </w:p>
    <w:p>
      <w:pPr>
        <w:pStyle w:val="Normal"/>
      </w:pPr>
      <w:r>
        <w:t xml:space="preserve">IBM’s Lotus Notes 6 and NetManage’s RUMBA. </w:t>
      </w:r>
    </w:p>
    <w:p>
      <w:pPr>
        <w:pStyle w:val="Para 25"/>
      </w:pPr>
      <w:r>
        <w:t/>
      </w:r>
    </w:p>
    <w:p>
      <w:pPr>
        <w:pStyle w:val="Normal"/>
      </w:pPr>
      <w:r>
        <w:t xml:space="preserve">Self-healing and install-on-demand are two powerful new features Windows Installer brings to </w:t>
      </w:r>
    </w:p>
    <w:p>
      <w:pPr>
        <w:pStyle w:val="Normal"/>
      </w:pPr>
      <w:r>
        <w:t xml:space="preserve">the table. Windows Installer shortcuts check for key files when launched and will attempt to </w:t>
      </w:r>
    </w:p>
    <w:p>
      <w:pPr>
        <w:pStyle w:val="Normal"/>
      </w:pPr>
      <w:r>
        <w:t xml:space="preserve">retrieve any missing files automatically. In this way, an application installed with MSI may also be configured not to install certain features until the user attempts to make use of them. </w:t>
      </w:r>
    </w:p>
    <w:p>
      <w:pPr>
        <w:pStyle w:val="Para 25"/>
      </w:pPr>
      <w:r>
        <w:t/>
      </w:r>
    </w:p>
    <w:p>
      <w:pPr>
        <w:pStyle w:val="Normal"/>
      </w:pPr>
      <w:r>
        <w:t xml:space="preserve">In addition, Windows Installer provides excellent command-line support, including the ability to </w:t>
      </w:r>
    </w:p>
    <w:p>
      <w:pPr>
        <w:pStyle w:val="Normal"/>
      </w:pPr>
      <w:r>
        <w:t xml:space="preserve">set public properties. This feature provides you with extensive command-line control of an </w:t>
      </w:r>
    </w:p>
    <w:p>
      <w:pPr>
        <w:pStyle w:val="Normal"/>
      </w:pPr>
      <w:r>
        <w:t xml:space="preserve">installation that will translate to every installation provided in this format.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38" name="index-104_2.png" descr="index-104_2.png"/>
            <wp:cNvGraphicFramePr>
              <a:graphicFrameLocks noChangeAspect="1"/>
            </wp:cNvGraphicFramePr>
            <a:graphic>
              <a:graphicData uri="http://schemas.openxmlformats.org/drawingml/2006/picture">
                <pic:pic>
                  <pic:nvPicPr>
                    <pic:cNvPr id="0" name="index-104_2.png" descr="index-104_2.png"/>
                    <pic:cNvPicPr/>
                  </pic:nvPicPr>
                  <pic:blipFill>
                    <a:blip r:embed="rId24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39" name="index-104_3.png" descr="index-104_3.png"/>
            <wp:cNvGraphicFramePr>
              <a:graphicFrameLocks noChangeAspect="1"/>
            </wp:cNvGraphicFramePr>
            <a:graphic>
              <a:graphicData uri="http://schemas.openxmlformats.org/drawingml/2006/picture">
                <pic:pic>
                  <pic:nvPicPr>
                    <pic:cNvPr id="0" name="index-104_3.png" descr="index-104_3.png"/>
                    <pic:cNvPicPr/>
                  </pic:nvPicPr>
                  <pic:blipFill>
                    <a:blip r:embed="rId243"/>
                    <a:stretch>
                      <a:fillRect/>
                    </a:stretch>
                  </pic:blipFill>
                  <pic:spPr>
                    <a:xfrm>
                      <a:off x="0" y="0"/>
                      <a:ext cx="914400" cy="444500"/>
                    </a:xfrm>
                    <a:prstGeom prst="rect">
                      <a:avLst/>
                    </a:prstGeom>
                  </pic:spPr>
                </pic:pic>
              </a:graphicData>
            </a:graphic>
          </wp:anchor>
        </w:drawing>
      </w:r>
    </w:p>
    <w:p>
      <w:pPr>
        <w:pStyle w:val="0 Block"/>
      </w:pPr>
    </w:p>
    <w:p>
      <w:bookmarkStart w:id="110" w:name="Chapter_4_9"/>
      <w:pPr>
        <w:pStyle w:val="Heading 1"/>
        <w:pageBreakBefore w:val="on"/>
      </w:pPr>
      <w:r>
        <w:t>Chapter 4</w:t>
      </w:r>
      <w:bookmarkEnd w:id="110"/>
    </w:p>
    <w:p>
      <w:pPr>
        <w:pStyle w:val="Para 25"/>
      </w:pPr>
      <w:r>
        <w:t/>
      </w:r>
    </w:p>
    <w:p>
      <w:pPr>
        <w:pStyle w:val="Para 17"/>
      </w:pPr>
      <w:r>
        <w:t xml:space="preserve">Drawbacks </w:t>
      </w:r>
    </w:p>
    <w:p>
      <w:pPr>
        <w:pStyle w:val="Normal"/>
      </w:pPr>
      <w:r>
        <w:t xml:space="preserve">Windows Installer must be properly administered or it can cause user dissatisfaction in the way </w:t>
      </w:r>
    </w:p>
    <w:p>
      <w:pPr>
        <w:pStyle w:val="Normal"/>
      </w:pPr>
      <w:r>
        <w:t xml:space="preserve">of repetitive calls to repair installations or prompting for needed installation files. In a network environment, you can avoid these kinds of problems through conflict checking and ensuring a </w:t>
      </w:r>
    </w:p>
    <w:p>
      <w:pPr>
        <w:pStyle w:val="Normal"/>
      </w:pPr>
      <w:r>
        <w:t xml:space="preserve">resilient path to installation files. However, Windows Installer requires an increased level of </w:t>
      </w:r>
    </w:p>
    <w:p>
      <w:pPr>
        <w:pStyle w:val="Normal"/>
      </w:pPr>
      <w:r>
        <w:t xml:space="preserve">planning and administration. </w:t>
      </w:r>
    </w:p>
    <w:p>
      <w:pPr>
        <w:pStyle w:val="Para 25"/>
      </w:pPr>
      <w:r>
        <w:t/>
      </w:r>
    </w:p>
    <w:p>
      <w:pPr>
        <w:pStyle w:val="Normal"/>
      </w:pPr>
      <w:r>
        <w:t xml:space="preserve">Updating an MSI can be technically challenging due to Windows Installer’s requirements to recognize and properly perform an update. See the sidebar “Creating Update MSI Files” earlier </w:t>
      </w:r>
    </w:p>
    <w:p>
      <w:pPr>
        <w:pStyle w:val="Normal"/>
      </w:pPr>
      <w:r>
        <w:t xml:space="preserve">in this chapter for details. </w:t>
      </w:r>
    </w:p>
    <w:p>
      <w:pPr>
        <w:pStyle w:val="Para 25"/>
      </w:pPr>
      <w:r>
        <w:t/>
      </w:r>
    </w:p>
    <w:p>
      <w:pPr>
        <w:pStyle w:val="Para 02"/>
      </w:pPr>
      <w:r>
        <w:t xml:space="preserve">A common misconception is that a patch file (MSP) is a way to quickly affect small changes after </w:t>
      </w:r>
    </w:p>
    <w:p>
      <w:pPr>
        <w:pStyle w:val="Para 02"/>
      </w:pPr>
      <w:r>
        <w:t xml:space="preserve">deployment; however, the creation of an MSP is actually additional (and as an administrator, often </w:t>
      </w:r>
    </w:p>
    <w:p>
      <w:pPr>
        <w:pStyle w:val="Para 02"/>
      </w:pPr>
      <w:r>
        <w:t xml:space="preserve">needless) work. To generate an MSP, you must first create an entire MSI for the new software </w:t>
      </w:r>
    </w:p>
    <w:p>
      <w:pPr>
        <w:pStyle w:val="Para 02"/>
      </w:pPr>
      <w:r>
        <w:t xml:space="preserve">update. The MSP is then generated by comparing the old and new MSI packages so that the file’s </w:t>
      </w:r>
    </w:p>
    <w:p>
      <w:pPr>
        <w:pStyle w:val="Para 02"/>
      </w:pPr>
      <w:r>
        <w:t xml:space="preserve">size is reduced to include only the changes between the two. This is primarily done for reducing </w:t>
      </w:r>
    </w:p>
    <w:p>
      <w:pPr>
        <w:pStyle w:val="Para 02"/>
      </w:pPr>
      <w:r>
        <w:t xml:space="preserve">Internet download sizes or the need to move updates across a WAN link. </w:t>
      </w:r>
    </w:p>
    <w:p>
      <w:pPr>
        <w:pStyle w:val="Para 25"/>
      </w:pPr>
      <w:r>
        <w:t/>
      </w:r>
    </w:p>
    <w:p>
      <w:pPr>
        <w:pStyle w:val="Para 09"/>
      </w:pPr>
      <w:r>
        <w:t xml:space="preserve">Command-Line Installations </w:t>
      </w:r>
    </w:p>
    <w:p>
      <w:pPr>
        <w:pStyle w:val="Para 25"/>
      </w:pPr>
      <w:r>
        <w:t/>
      </w:r>
    </w:p>
    <w:p>
      <w:pPr>
        <w:pStyle w:val="Normal"/>
      </w:pPr>
      <w:r>
        <w:t xml:space="preserve">Particularly with simple installations that require little or no configuration options, some </w:t>
      </w:r>
    </w:p>
    <w:p>
      <w:pPr>
        <w:pStyle w:val="Normal"/>
      </w:pPr>
      <w:r>
        <w:t xml:space="preserve">software vendors provide a means of silently installing software from the command line. Microsoft, for example, provides command-line options for installations of hotfixes and other </w:t>
      </w:r>
    </w:p>
    <w:p>
      <w:pPr>
        <w:pStyle w:val="Normal"/>
      </w:pPr>
      <w:r>
        <w:t xml:space="preserve">simplistic installations using a consistent set of command-line switches. The following list </w:t>
      </w:r>
    </w:p>
    <w:p>
      <w:pPr>
        <w:pStyle w:val="Normal"/>
      </w:pPr>
      <w:r>
        <w:t xml:space="preserve">provides common Microsoft command-line switches: </w:t>
      </w:r>
    </w:p>
    <w:p>
      <w:pPr>
        <w:pStyle w:val="Para 25"/>
      </w:pPr>
      <w:r>
        <w:t/>
      </w:r>
    </w:p>
    <w:p>
      <w:pPr>
        <w:pStyle w:val="Para 04"/>
      </w:pPr>
      <w:r>
        <w:t xml:space="preserve">• </w:t>
      </w:r>
      <w:r>
        <w:rPr>
          <w:rStyle w:val="Text3"/>
        </w:rPr>
        <w:t>/A</w:t>
      </w:r>
      <w:r>
        <w:t xml:space="preserve"> runs the setup in administrative mode. This option is available only when installing </w:t>
      </w:r>
    </w:p>
    <w:p>
      <w:pPr>
        <w:pStyle w:val="Para 01"/>
      </w:pPr>
      <w:r>
        <w:t xml:space="preserve">from the original media. </w:t>
      </w:r>
    </w:p>
    <w:p>
      <w:pPr>
        <w:pStyle w:val="Para 25"/>
      </w:pPr>
      <w:r>
        <w:t/>
      </w:r>
    </w:p>
    <w:p>
      <w:pPr>
        <w:pStyle w:val="Para 04"/>
      </w:pPr>
      <w:r>
        <w:t xml:space="preserve">• </w:t>
      </w:r>
      <w:r>
        <w:rPr>
          <w:rStyle w:val="Text3"/>
        </w:rPr>
        <w:t>/B</w:t>
      </w:r>
      <w:r>
        <w:t xml:space="preserve"> specifies the type of setup to be performed. This can be a number, which refers to </w:t>
      </w:r>
    </w:p>
    <w:p>
      <w:pPr>
        <w:pStyle w:val="Para 01"/>
      </w:pPr>
      <w:r>
        <w:t xml:space="preserve">Typical, Compact, or Custom. The meaning of this number varies across Microsoft </w:t>
      </w:r>
    </w:p>
    <w:p>
      <w:pPr>
        <w:pStyle w:val="Para 01"/>
      </w:pPr>
      <w:r>
        <w:t xml:space="preserve">products. </w:t>
      </w:r>
    </w:p>
    <w:p>
      <w:pPr>
        <w:pStyle w:val="Para 25"/>
      </w:pPr>
      <w:r>
        <w:t/>
      </w:r>
    </w:p>
    <w:p>
      <w:pPr>
        <w:pStyle w:val="Para 04"/>
      </w:pPr>
      <w:r>
        <w:t xml:space="preserve">• </w:t>
      </w:r>
      <w:r>
        <w:rPr>
          <w:rStyle w:val="Text3"/>
        </w:rPr>
        <w:t>/C</w:t>
      </w:r>
      <w:r>
        <w:t xml:space="preserve"> "" If your product was supplied with a 20-digit license key, use this option to enter the </w:t>
      </w:r>
    </w:p>
    <w:p>
      <w:pPr>
        <w:pStyle w:val="Para 01"/>
      </w:pPr>
      <w:r>
        <w:t xml:space="preserve">key and bypass the key validation dialog box. You must enter a space before the key and enclose it in double quotation marks. </w:t>
      </w:r>
    </w:p>
    <w:p>
      <w:pPr>
        <w:pStyle w:val="Para 25"/>
      </w:pPr>
      <w:r>
        <w:t/>
      </w:r>
    </w:p>
    <w:p>
      <w:pPr>
        <w:pStyle w:val="Para 04"/>
      </w:pPr>
      <w:r>
        <w:t xml:space="preserve">• </w:t>
      </w:r>
      <w:r>
        <w:rPr>
          <w:rStyle w:val="Text3"/>
        </w:rPr>
        <w:t>/K</w:t>
      </w:r>
      <w:r>
        <w:t xml:space="preserve"> "" If your product was supplied with a 10-digit license key, use this option to enter the </w:t>
      </w:r>
    </w:p>
    <w:p>
      <w:pPr>
        <w:pStyle w:val="Para 01"/>
      </w:pPr>
      <w:r>
        <w:t xml:space="preserve">key and bypass the key validation dialog box. You must enter a space before the key and </w:t>
      </w:r>
    </w:p>
    <w:p>
      <w:pPr>
        <w:pStyle w:val="Para 01"/>
      </w:pPr>
      <w:r>
        <w:t xml:space="preserve">enclose it in double quotation marks. The license key can be found on the Product Authorization Certificate or on the CD-ROM casing. </w:t>
      </w:r>
    </w:p>
    <w:p>
      <w:pPr>
        <w:pStyle w:val="Para 25"/>
      </w:pPr>
      <w:r>
        <w:t/>
      </w:r>
    </w:p>
    <w:p>
      <w:pPr>
        <w:pStyle w:val="Para 04"/>
      </w:pPr>
      <w:r>
        <w:t xml:space="preserve">• </w:t>
      </w:r>
      <w:r>
        <w:rPr>
          <w:rStyle w:val="Text3"/>
        </w:rPr>
        <w:t>/F</w:t>
      </w:r>
      <w:r>
        <w:t xml:space="preserve"> performs an installation using only short (8.3) file names. </w:t>
      </w:r>
    </w:p>
    <w:p>
      <w:pPr>
        <w:pStyle w:val="Para 25"/>
      </w:pPr>
      <w:r>
        <w:t/>
      </w:r>
    </w:p>
    <w:p>
      <w:pPr>
        <w:pStyle w:val="Para 04"/>
      </w:pPr>
      <w:r>
        <w:t xml:space="preserve">• </w:t>
      </w:r>
      <w:r>
        <w:rPr>
          <w:rStyle w:val="Text3"/>
        </w:rPr>
        <w:t>/Q [0 | 1 | T]</w:t>
      </w:r>
      <w:r>
        <w:t xml:space="preserve"> runs the setup in silent installation mode. Use /Q1 to suppress the Exit </w:t>
      </w:r>
    </w:p>
    <w:p>
      <w:pPr>
        <w:pStyle w:val="Para 01"/>
      </w:pPr>
      <w:r>
        <w:t xml:space="preserve">dialog box. Use /QT to suppress all dialog boxes including the background frame window </w:t>
      </w:r>
    </w:p>
    <w:p>
      <w:pPr>
        <w:pStyle w:val="Para 01"/>
      </w:pPr>
      <w:r>
        <w:t xml:space="preserve">and progress gauge. The /A and /Q options are mutually exclusive. </w:t>
      </w:r>
    </w:p>
    <w:p>
      <w:pPr>
        <w:pStyle w:val="Para 25"/>
      </w:pPr>
      <w:r>
        <w:t/>
      </w:r>
    </w:p>
    <w:p>
      <w:pPr>
        <w:pStyle w:val="Para 04"/>
      </w:pPr>
      <w:r>
        <w:t xml:space="preserve">• </w:t>
      </w:r>
      <w:r>
        <w:rPr>
          <w:rStyle w:val="Text3"/>
        </w:rPr>
        <w:t>/R</w:t>
      </w:r>
      <w:r>
        <w:t xml:space="preserve"> reinstalls the application. </w:t>
      </w:r>
    </w:p>
    <w:p>
      <w:pPr>
        <w:pStyle w:val="Para 25"/>
      </w:pPr>
      <w:r>
        <w:t/>
      </w:r>
    </w:p>
    <w:p>
      <w:pPr>
        <w:pStyle w:val="Para 04"/>
      </w:pPr>
      <w:r>
        <w:t xml:space="preserve">• </w:t>
      </w:r>
      <w:r>
        <w:rPr>
          <w:rStyle w:val="Text3"/>
        </w:rPr>
        <w:t>/U[A]</w:t>
      </w:r>
      <w:r>
        <w:t xml:space="preserve"> Uninstalls the application. If /Q is also specified, the user is not prompted about </w:t>
      </w:r>
    </w:p>
    <w:p>
      <w:pPr>
        <w:pStyle w:val="Para 01"/>
      </w:pPr>
      <w:r>
        <w:t xml:space="preserve">removing shared components. /UA removes shared components without prompting the user.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40" name="index-105_1.png" descr="index-105_1.png"/>
            <wp:cNvGraphicFramePr>
              <a:graphicFrameLocks noChangeAspect="1"/>
            </wp:cNvGraphicFramePr>
            <a:graphic>
              <a:graphicData uri="http://schemas.openxmlformats.org/drawingml/2006/picture">
                <pic:pic>
                  <pic:nvPicPr>
                    <pic:cNvPr id="0" name="index-105_1.png" descr="index-105_1.png"/>
                    <pic:cNvPicPr/>
                  </pic:nvPicPr>
                  <pic:blipFill>
                    <a:blip r:embed="rId24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41" name="index-105_2.png" descr="index-105_2.png"/>
            <wp:cNvGraphicFramePr>
              <a:graphicFrameLocks noChangeAspect="1"/>
            </wp:cNvGraphicFramePr>
            <a:graphic>
              <a:graphicData uri="http://schemas.openxmlformats.org/drawingml/2006/picture">
                <pic:pic>
                  <pic:nvPicPr>
                    <pic:cNvPr id="0" name="index-105_2.png" descr="index-105_2.png"/>
                    <pic:cNvPicPr/>
                  </pic:nvPicPr>
                  <pic:blipFill>
                    <a:blip r:embed="rId245"/>
                    <a:stretch>
                      <a:fillRect/>
                    </a:stretch>
                  </pic:blipFill>
                  <pic:spPr>
                    <a:xfrm>
                      <a:off x="0" y="0"/>
                      <a:ext cx="914400" cy="444500"/>
                    </a:xfrm>
                    <a:prstGeom prst="rect">
                      <a:avLst/>
                    </a:prstGeom>
                  </pic:spPr>
                </pic:pic>
              </a:graphicData>
            </a:graphic>
          </wp:anchor>
        </w:drawing>
      </w:r>
    </w:p>
    <w:p>
      <w:pPr>
        <w:pStyle w:val="0 Block"/>
      </w:pPr>
    </w:p>
    <w:p>
      <w:bookmarkStart w:id="111" w:name="Chapter_4_10"/>
      <w:pPr>
        <w:pStyle w:val="Heading 1"/>
        <w:pageBreakBefore w:val="on"/>
      </w:pPr>
      <w:r>
        <w:t>Chapter 4</w:t>
      </w:r>
      <w:bookmarkEnd w:id="111"/>
    </w:p>
    <w:p>
      <w:pPr>
        <w:pStyle w:val="Para 25"/>
      </w:pPr>
      <w:r>
        <w:t/>
      </w:r>
    </w:p>
    <w:p>
      <w:pPr>
        <w:pStyle w:val="Normal"/>
      </w:pPr>
      <w:r>
        <w:t>Several other common switches can be attempted in an effort to determine support for command-</w:t>
      </w:r>
    </w:p>
    <w:p>
      <w:pPr>
        <w:pStyle w:val="Normal"/>
      </w:pPr>
      <w:r>
        <w:t xml:space="preserve">line switches by setup.exe files. Several regularly used switches worth trying out include: </w:t>
      </w:r>
    </w:p>
    <w:p>
      <w:pPr>
        <w:pStyle w:val="Para 25"/>
      </w:pPr>
      <w:r>
        <w:t/>
      </w:r>
    </w:p>
    <w:p>
      <w:pPr>
        <w:pStyle w:val="Para 04"/>
      </w:pPr>
      <w:r>
        <w:t xml:space="preserve">• -/QUIET </w:t>
      </w:r>
    </w:p>
    <w:p>
      <w:pPr>
        <w:pStyle w:val="Para 25"/>
      </w:pPr>
      <w:r>
        <w:t/>
      </w:r>
    </w:p>
    <w:p>
      <w:pPr>
        <w:pStyle w:val="Para 04"/>
      </w:pPr>
      <w:r>
        <w:t xml:space="preserve">• -/UNATTENDED </w:t>
      </w:r>
    </w:p>
    <w:p>
      <w:pPr>
        <w:pStyle w:val="Para 25"/>
      </w:pPr>
      <w:r>
        <w:t/>
      </w:r>
    </w:p>
    <w:p>
      <w:pPr>
        <w:pStyle w:val="Para 04"/>
      </w:pPr>
      <w:r>
        <w:t xml:space="preserve">• -/S </w:t>
      </w:r>
    </w:p>
    <w:p>
      <w:pPr>
        <w:pStyle w:val="Para 25"/>
      </w:pPr>
      <w:r>
        <w:t/>
      </w:r>
    </w:p>
    <w:p>
      <w:pPr>
        <w:pStyle w:val="Para 04"/>
      </w:pPr>
      <w:r>
        <w:t xml:space="preserve">• -/Q </w:t>
      </w:r>
    </w:p>
    <w:p>
      <w:pPr>
        <w:pStyle w:val="Para 25"/>
      </w:pPr>
      <w:r>
        <w:t/>
      </w:r>
    </w:p>
    <w:p>
      <w:pPr>
        <w:pStyle w:val="Para 04"/>
      </w:pPr>
      <w:r>
        <w:t xml:space="preserve">• -/SILENT </w:t>
      </w:r>
    </w:p>
    <w:p>
      <w:pPr>
        <w:pStyle w:val="Para 25"/>
      </w:pPr>
      <w:r>
        <w:t/>
      </w:r>
    </w:p>
    <w:p>
      <w:pPr>
        <w:pStyle w:val="Para 04"/>
      </w:pPr>
      <w:r>
        <w:t xml:space="preserve">• -/SMS </w:t>
      </w:r>
    </w:p>
    <w:p>
      <w:pPr>
        <w:pStyle w:val="Para 25"/>
      </w:pPr>
      <w:r>
        <w:t/>
      </w:r>
    </w:p>
    <w:p>
      <w:pPr>
        <w:pStyle w:val="Para 04"/>
      </w:pPr>
      <w:r>
        <w:t xml:space="preserve">• -/? </w:t>
      </w:r>
    </w:p>
    <w:p>
      <w:pPr>
        <w:pStyle w:val="Para 25"/>
      </w:pPr>
      <w:r>
        <w:t/>
      </w:r>
    </w:p>
    <w:p>
      <w:pPr>
        <w:pStyle w:val="Para 02"/>
      </w:pPr>
      <w:r>
        <w:t xml:space="preserve">Some switches are case sensitive and/or require a dash (-) or slash (/) depending upon their unique </w:t>
      </w:r>
    </w:p>
    <w:p>
      <w:pPr>
        <w:pStyle w:val="Para 02"/>
      </w:pPr>
      <w:r>
        <w:t xml:space="preserve">implementation of command-line switch support. Try several combinations before giving up on this </w:t>
      </w:r>
    </w:p>
    <w:p>
      <w:pPr>
        <w:pStyle w:val="Para 02"/>
      </w:pPr>
      <w:r>
        <w:t xml:space="preserve">option as a viable method of silent installation. </w:t>
      </w:r>
    </w:p>
    <w:p>
      <w:pPr>
        <w:pStyle w:val="Para 25"/>
      </w:pPr>
      <w:r>
        <w:t/>
      </w:r>
    </w:p>
    <w:p>
      <w:pPr>
        <w:pStyle w:val="Normal"/>
      </w:pPr>
      <w:r>
        <w:t xml:space="preserve">Microsoft hotfixes and simple utilities often support command-line installation switches where an MSI was not implemented. In addition, this installation method is often supported by </w:t>
      </w:r>
    </w:p>
    <w:p>
      <w:pPr>
        <w:pStyle w:val="Normal"/>
      </w:pPr>
      <w:r>
        <w:t xml:space="preserve">applications designed for distribution (often with built-in distribution mechanisms), including </w:t>
      </w:r>
    </w:p>
    <w:p>
      <w:pPr>
        <w:pStyle w:val="Normal"/>
      </w:pPr>
      <w:r>
        <w:t xml:space="preserve">Norton and McAfee antivirus software and management software such as the Altiris, BMC Patrol, Lanovation, and Cognet client agents. </w:t>
      </w:r>
    </w:p>
    <w:p>
      <w:pPr>
        <w:pStyle w:val="Para 25"/>
      </w:pPr>
      <w:r>
        <w:t/>
      </w:r>
    </w:p>
    <w:p>
      <w:pPr>
        <w:pStyle w:val="Para 17"/>
      </w:pPr>
      <w:r>
        <w:t xml:space="preserve">Benefits </w:t>
      </w:r>
    </w:p>
    <w:p>
      <w:pPr>
        <w:pStyle w:val="Normal"/>
      </w:pPr>
      <w:r>
        <w:t xml:space="preserve">If your environment allows it, you should always take advantage of the options developed by the </w:t>
      </w:r>
    </w:p>
    <w:p>
      <w:pPr>
        <w:pStyle w:val="Normal"/>
      </w:pPr>
      <w:r>
        <w:t xml:space="preserve">vendor. Success will be as likely as with a manual installation, resulting in your best chance at a clean install. Additionally, such an installation method is supported by the vendor, so you will be </w:t>
      </w:r>
    </w:p>
    <w:p>
      <w:pPr>
        <w:pStyle w:val="Normal"/>
      </w:pPr>
      <w:r>
        <w:t xml:space="preserve">able to review documentation and make use of other vendor support services should you </w:t>
      </w:r>
    </w:p>
    <w:p>
      <w:pPr>
        <w:pStyle w:val="Normal"/>
      </w:pPr>
      <w:r>
        <w:t xml:space="preserve">encounter any problems. </w:t>
      </w:r>
    </w:p>
    <w:p>
      <w:pPr>
        <w:pStyle w:val="Para 25"/>
      </w:pPr>
      <w:r>
        <w:t/>
      </w:r>
    </w:p>
    <w:p>
      <w:pPr>
        <w:pStyle w:val="Para 17"/>
      </w:pPr>
      <w:r>
        <w:t xml:space="preserve">Drawbacks </w:t>
      </w:r>
    </w:p>
    <w:p>
      <w:pPr>
        <w:pStyle w:val="Normal"/>
      </w:pPr>
      <w:r>
        <w:t xml:space="preserve">Command-line installations often provide few options for customization (or none at all). If you </w:t>
      </w:r>
    </w:p>
    <w:p>
      <w:pPr>
        <w:pStyle w:val="Normal"/>
      </w:pPr>
      <w:r>
        <w:t xml:space="preserve">want to install to a specific directory or to determine where any potential shortcuts are to be </w:t>
      </w:r>
    </w:p>
    <w:p>
      <w:pPr>
        <w:pStyle w:val="Normal"/>
      </w:pPr>
      <w:r>
        <w:t xml:space="preserve">placed, you might need to use a custom script to perform such changes following the command-line install. As a result, many command-line installations take advantage of a configuration file, </w:t>
      </w:r>
    </w:p>
    <w:p>
      <w:pPr>
        <w:pStyle w:val="Normal"/>
      </w:pPr>
      <w:r>
        <w:t xml:space="preserve">or answer file, as discussed next. </w:t>
      </w:r>
    </w:p>
    <w:p>
      <w:pPr>
        <w:pStyle w:val="Para 25"/>
      </w:pPr>
      <w:r>
        <w:t/>
      </w:r>
    </w:p>
    <w:p>
      <w:pPr>
        <w:pStyle w:val="Para 09"/>
      </w:pPr>
      <w:r>
        <w:t xml:space="preserve">Answer File </w:t>
      </w:r>
    </w:p>
    <w:p>
      <w:pPr>
        <w:pStyle w:val="Para 25"/>
      </w:pPr>
      <w:r>
        <w:t/>
      </w:r>
    </w:p>
    <w:p>
      <w:pPr>
        <w:pStyle w:val="Normal"/>
      </w:pPr>
      <w:r>
        <w:t>An answer file lets you customize your installation and still enjoy the benefits of a vendor-</w:t>
      </w:r>
    </w:p>
    <w:p>
      <w:pPr>
        <w:pStyle w:val="Normal"/>
      </w:pPr>
      <w:r>
        <w:t xml:space="preserve">supported installation process. Answer files are normally in an INI file format, but can also be as </w:t>
      </w:r>
    </w:p>
    <w:p>
      <w:pPr>
        <w:pStyle w:val="Normal"/>
      </w:pPr>
      <w:r>
        <w:t xml:space="preserve">simple as a text file with one or two lines (such as where it should be installed).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42" name="index-106_1.png" descr="index-106_1.png"/>
            <wp:cNvGraphicFramePr>
              <a:graphicFrameLocks noChangeAspect="1"/>
            </wp:cNvGraphicFramePr>
            <a:graphic>
              <a:graphicData uri="http://schemas.openxmlformats.org/drawingml/2006/picture">
                <pic:pic>
                  <pic:nvPicPr>
                    <pic:cNvPr id="0" name="index-106_1.png" descr="index-106_1.png"/>
                    <pic:cNvPicPr/>
                  </pic:nvPicPr>
                  <pic:blipFill>
                    <a:blip r:embed="rId24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43" name="index-106_2.png" descr="index-106_2.png"/>
            <wp:cNvGraphicFramePr>
              <a:graphicFrameLocks noChangeAspect="1"/>
            </wp:cNvGraphicFramePr>
            <a:graphic>
              <a:graphicData uri="http://schemas.openxmlformats.org/drawingml/2006/picture">
                <pic:pic>
                  <pic:nvPicPr>
                    <pic:cNvPr id="0" name="index-106_2.png" descr="index-106_2.png"/>
                    <pic:cNvPicPr/>
                  </pic:nvPicPr>
                  <pic:blipFill>
                    <a:blip r:embed="rId247"/>
                    <a:stretch>
                      <a:fillRect/>
                    </a:stretch>
                  </pic:blipFill>
                  <pic:spPr>
                    <a:xfrm>
                      <a:off x="0" y="0"/>
                      <a:ext cx="914400" cy="444500"/>
                    </a:xfrm>
                    <a:prstGeom prst="rect">
                      <a:avLst/>
                    </a:prstGeom>
                  </pic:spPr>
                </pic:pic>
              </a:graphicData>
            </a:graphic>
          </wp:anchor>
        </w:drawing>
      </w:r>
    </w:p>
    <w:p>
      <w:pPr>
        <w:pStyle w:val="0 Block"/>
      </w:pPr>
    </w:p>
    <w:p>
      <w:bookmarkStart w:id="112" w:name="Chapter_4_11"/>
      <w:pPr>
        <w:pStyle w:val="Heading 1"/>
        <w:pageBreakBefore w:val="on"/>
      </w:pPr>
      <w:r>
        <w:t>Chapter 4</w:t>
      </w:r>
      <w:bookmarkEnd w:id="112"/>
    </w:p>
    <w:p>
      <w:pPr>
        <w:pStyle w:val="Para 25"/>
      </w:pPr>
      <w:r>
        <w:t/>
      </w:r>
    </w:p>
    <w:p>
      <w:pPr>
        <w:pStyle w:val="Normal"/>
      </w:pPr>
      <w:r>
        <w:t xml:space="preserve">To satisfy the demand of desktop administrators, many vendors have taken an effort to provide a </w:t>
      </w:r>
    </w:p>
    <w:p>
      <w:pPr>
        <w:pStyle w:val="Normal"/>
      </w:pPr>
      <w:r>
        <w:t xml:space="preserve">supported means of silent installation. Such support provides you with the ability to customize a </w:t>
      </w:r>
    </w:p>
    <w:p>
      <w:pPr>
        <w:pStyle w:val="Normal"/>
      </w:pPr>
      <w:r>
        <w:t xml:space="preserve">silent installation using the vendor’s supported installation process. For example, InstallShield provides a native ability to create an answer file, then use that file to facilitate a silent </w:t>
      </w:r>
    </w:p>
    <w:p>
      <w:pPr>
        <w:pStyle w:val="Normal"/>
      </w:pPr>
      <w:r>
        <w:t xml:space="preserve">installation. Many vendors are aware of this functionality, and have documented it as a supported </w:t>
      </w:r>
    </w:p>
    <w:p>
      <w:pPr>
        <w:pStyle w:val="Normal"/>
      </w:pPr>
      <w:r>
        <w:t xml:space="preserve">means of installation. However, many other vendors who used InstallShield unknowingly provide this functionality—so it may or may not be supported by the product with which you’re </w:t>
      </w:r>
    </w:p>
    <w:p>
      <w:pPr>
        <w:pStyle w:val="Normal"/>
      </w:pPr>
      <w:r>
        <w:t xml:space="preserve">working. Still others who were aware of the capability and did not want to provide it, have </w:t>
      </w:r>
    </w:p>
    <w:p>
      <w:pPr>
        <w:pStyle w:val="Normal"/>
      </w:pPr>
      <w:r>
        <w:t xml:space="preserve">broken the process so that it cannot be used. </w:t>
      </w:r>
    </w:p>
    <w:p>
      <w:pPr>
        <w:pStyle w:val="Para 25"/>
      </w:pPr>
      <w:r>
        <w:t/>
      </w:r>
    </w:p>
    <w:p>
      <w:pPr>
        <w:pStyle w:val="Normal"/>
      </w:pPr>
      <w:r>
        <w:t xml:space="preserve">There are several switches supported by InstallShield legacy setup.exe files. In particular, you will want to use the -R switch to create your answer file and -S to perform the installation </w:t>
      </w:r>
    </w:p>
    <w:p>
      <w:pPr>
        <w:pStyle w:val="Normal"/>
      </w:pPr>
      <w:r>
        <w:t xml:space="preserve">silently using this answer file. Supported switches are described in the following list: </w:t>
      </w:r>
    </w:p>
    <w:p>
      <w:pPr>
        <w:pStyle w:val="Para 25"/>
      </w:pPr>
      <w:r>
        <w:t/>
      </w:r>
    </w:p>
    <w:p>
      <w:pPr>
        <w:pStyle w:val="Para 04"/>
      </w:pPr>
      <w:r>
        <w:t xml:space="preserve">• </w:t>
      </w:r>
      <w:r>
        <w:rPr>
          <w:rStyle w:val="Text3"/>
        </w:rPr>
        <w:t xml:space="preserve">-S </w:t>
      </w:r>
      <w:r>
        <w:t xml:space="preserve">initiates a silent installation using the answer file (.ISS) in the current directory or in </w:t>
      </w:r>
    </w:p>
    <w:p>
      <w:pPr>
        <w:pStyle w:val="Para 01"/>
      </w:pPr>
      <w:r>
        <w:t xml:space="preserve">the location specified by the F1 switch. </w:t>
      </w:r>
    </w:p>
    <w:p>
      <w:pPr>
        <w:pStyle w:val="Para 25"/>
      </w:pPr>
      <w:r>
        <w:t/>
      </w:r>
    </w:p>
    <w:p>
      <w:pPr>
        <w:pStyle w:val="Para 04"/>
      </w:pPr>
      <w:r>
        <w:t xml:space="preserve">• </w:t>
      </w:r>
      <w:r>
        <w:rPr>
          <w:rStyle w:val="Text3"/>
        </w:rPr>
        <w:t>-SMS</w:t>
      </w:r>
      <w:r>
        <w:t xml:space="preserve"> holds the process until the installation is complete. When scripting or using a </w:t>
      </w:r>
    </w:p>
    <w:p>
      <w:pPr>
        <w:pStyle w:val="Para 01"/>
      </w:pPr>
      <w:r>
        <w:t xml:space="preserve">management system such as Microsoft SMS that maps a drive only for the duration of the </w:t>
      </w:r>
    </w:p>
    <w:p>
      <w:pPr>
        <w:pStyle w:val="Para 01"/>
      </w:pPr>
      <w:r>
        <w:t xml:space="preserve">installation, you should use the -SMS switch. Without it, control of the system is </w:t>
      </w:r>
    </w:p>
    <w:p>
      <w:pPr>
        <w:pStyle w:val="Para 01"/>
      </w:pPr>
      <w:r>
        <w:t xml:space="preserve">immediately relinquished and the only means of monitoring its activity will be via Task Manager’s Process tab. This switch is case sensitive. </w:t>
      </w:r>
    </w:p>
    <w:p>
      <w:pPr>
        <w:pStyle w:val="Para 25"/>
      </w:pPr>
      <w:r>
        <w:t/>
      </w:r>
    </w:p>
    <w:p>
      <w:pPr>
        <w:pStyle w:val="Para 04"/>
      </w:pPr>
      <w:r>
        <w:t xml:space="preserve">• </w:t>
      </w:r>
      <w:r>
        <w:rPr>
          <w:rStyle w:val="Text3"/>
        </w:rPr>
        <w:t>-R</w:t>
      </w:r>
      <w:r>
        <w:t xml:space="preserve"> records the dialog boxes and choices made during an installation process. By default, </w:t>
      </w:r>
    </w:p>
    <w:p>
      <w:pPr>
        <w:pStyle w:val="Para 01"/>
      </w:pPr>
      <w:r>
        <w:t xml:space="preserve">the answer will be named SETUP.ISS and will be stored in the System Root directory </w:t>
      </w:r>
    </w:p>
    <w:p>
      <w:pPr>
        <w:pStyle w:val="Para 01"/>
      </w:pPr>
      <w:r>
        <w:t xml:space="preserve">(typically C:\windows or C:\winnt). You can use the F1 switch to specify this location </w:t>
      </w:r>
    </w:p>
    <w:p>
      <w:pPr>
        <w:pStyle w:val="Para 01"/>
      </w:pPr>
      <w:r>
        <w:t xml:space="preserve">and file name. </w:t>
      </w:r>
    </w:p>
    <w:p>
      <w:pPr>
        <w:pStyle w:val="Para 25"/>
      </w:pPr>
      <w:r>
        <w:t/>
      </w:r>
    </w:p>
    <w:p>
      <w:pPr>
        <w:pStyle w:val="Para 04"/>
      </w:pPr>
      <w:r>
        <w:t xml:space="preserve">• </w:t>
      </w:r>
      <w:r>
        <w:rPr>
          <w:rStyle w:val="Text3"/>
        </w:rPr>
        <w:t xml:space="preserve">-F1&lt;path to ISS file&gt; </w:t>
      </w:r>
      <w:r>
        <w:t xml:space="preserve">specifies an alternative location and name of the response file </w:t>
      </w:r>
    </w:p>
    <w:p>
      <w:pPr>
        <w:pStyle w:val="Para 01"/>
      </w:pPr>
      <w:r>
        <w:t xml:space="preserve">(.ISS file). </w:t>
      </w:r>
    </w:p>
    <w:p>
      <w:pPr>
        <w:pStyle w:val="Para 25"/>
      </w:pPr>
      <w:r>
        <w:t/>
      </w:r>
    </w:p>
    <w:p>
      <w:pPr>
        <w:pStyle w:val="Para 04"/>
      </w:pPr>
      <w:r>
        <w:t xml:space="preserve">• </w:t>
      </w:r>
      <w:r>
        <w:rPr>
          <w:rStyle w:val="Text3"/>
        </w:rPr>
        <w:t>-F2&lt;path to log file&gt;</w:t>
      </w:r>
      <w:r>
        <w:t xml:space="preserve"> specifies an alternative location and name of the log file created by </w:t>
      </w:r>
    </w:p>
    <w:p>
      <w:pPr>
        <w:pStyle w:val="Para 01"/>
      </w:pPr>
      <w:r>
        <w:t xml:space="preserve">the silent InstallShield installation. By default, a setup.log log file is created and stored in </w:t>
      </w:r>
    </w:p>
    <w:p>
      <w:pPr>
        <w:pStyle w:val="Para 01"/>
      </w:pPr>
      <w:r>
        <w:t xml:space="preserve">the same directory as that of the InstallShield setup.iss file. </w:t>
      </w:r>
    </w:p>
    <w:p>
      <w:pPr>
        <w:pStyle w:val="Para 25"/>
      </w:pPr>
      <w:r>
        <w:t/>
      </w:r>
    </w:p>
    <w:p>
      <w:pPr>
        <w:pStyle w:val="Para 04"/>
      </w:pPr>
      <w:r>
        <w:t xml:space="preserve">• </w:t>
      </w:r>
      <w:r>
        <w:rPr>
          <w:rStyle w:val="Text3"/>
        </w:rPr>
        <w:t>-m&lt;filename&gt;</w:t>
      </w:r>
      <w:r>
        <w:t xml:space="preserve"> causes setup.exe to automatically generate a Management Information </w:t>
      </w:r>
    </w:p>
    <w:p>
      <w:pPr>
        <w:pStyle w:val="Para 01"/>
      </w:pPr>
      <w:r>
        <w:t xml:space="preserve">Format (.mif) file at the end of the setup (used by Microsoft SMS for reporting inventory </w:t>
      </w:r>
    </w:p>
    <w:p>
      <w:pPr>
        <w:pStyle w:val="Para 01"/>
      </w:pPr>
      <w:r>
        <w:t xml:space="preserve">and status messages). Do not include a path—the .mif file is always placed in the </w:t>
      </w:r>
    </w:p>
    <w:p>
      <w:pPr>
        <w:pStyle w:val="Para 01"/>
      </w:pPr>
      <w:r>
        <w:t xml:space="preserve">Windows folder. </w:t>
      </w:r>
    </w:p>
    <w:p>
      <w:pPr>
        <w:pStyle w:val="Para 25"/>
      </w:pPr>
      <w:r>
        <w:t/>
      </w:r>
    </w:p>
    <w:p>
      <w:pPr>
        <w:pStyle w:val="Para 04"/>
      </w:pPr>
      <w:r>
        <w:t xml:space="preserve">• </w:t>
      </w:r>
      <w:r>
        <w:rPr>
          <w:rStyle w:val="Text3"/>
        </w:rPr>
        <w:t>-uninst</w:t>
      </w:r>
      <w:r>
        <w:t xml:space="preserve"> runs the setup as an uninstall. </w:t>
      </w:r>
    </w:p>
    <w:p>
      <w:pPr>
        <w:pStyle w:val="Para 25"/>
      </w:pPr>
      <w:r>
        <w:t/>
      </w:r>
    </w:p>
    <w:p>
      <w:pPr>
        <w:pStyle w:val="Para 04"/>
      </w:pPr>
      <w:r>
        <w:t xml:space="preserve">• </w:t>
      </w:r>
      <w:r>
        <w:rPr>
          <w:rStyle w:val="Text3"/>
        </w:rPr>
        <w:t xml:space="preserve">-verbose </w:t>
      </w:r>
      <w:r>
        <w:t xml:space="preserve">provides more detailed information when a setup.exe error occurs. </w:t>
      </w:r>
    </w:p>
    <w:p>
      <w:pPr>
        <w:pStyle w:val="Para 25"/>
      </w:pPr>
      <w:r>
        <w:t/>
      </w:r>
    </w:p>
    <w:p>
      <w:pPr>
        <w:pStyle w:val="Para 02"/>
      </w:pPr>
      <w:r>
        <w:t xml:space="preserve">You can pass switches in any order and precede them with the dash (-) or forward slash (/) character. </w:t>
      </w:r>
    </w:p>
    <w:p>
      <w:pPr>
        <w:pStyle w:val="Para 02"/>
      </w:pPr>
      <w:r>
        <w:t xml:space="preserve">With the exception of the SMS switch, these parameters are not case sensitive. When using long </w:t>
      </w:r>
    </w:p>
    <w:p>
      <w:pPr>
        <w:pStyle w:val="Para 02"/>
      </w:pPr>
      <w:r>
        <w:t xml:space="preserve">path and file names and those with spaces, enclose the switch in double quotation marks so that they </w:t>
      </w:r>
    </w:p>
    <w:p>
      <w:pPr>
        <w:pStyle w:val="Para 02"/>
      </w:pPr>
      <w:r>
        <w:t xml:space="preserve">are not treated as command-line delimiters.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44" name="index-107_1.png" descr="index-107_1.png"/>
            <wp:cNvGraphicFramePr>
              <a:graphicFrameLocks noChangeAspect="1"/>
            </wp:cNvGraphicFramePr>
            <a:graphic>
              <a:graphicData uri="http://schemas.openxmlformats.org/drawingml/2006/picture">
                <pic:pic>
                  <pic:nvPicPr>
                    <pic:cNvPr id="0" name="index-107_1.png" descr="index-107_1.png"/>
                    <pic:cNvPicPr/>
                  </pic:nvPicPr>
                  <pic:blipFill>
                    <a:blip r:embed="rId24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45" name="index-107_2.png" descr="index-107_2.png"/>
            <wp:cNvGraphicFramePr>
              <a:graphicFrameLocks noChangeAspect="1"/>
            </wp:cNvGraphicFramePr>
            <a:graphic>
              <a:graphicData uri="http://schemas.openxmlformats.org/drawingml/2006/picture">
                <pic:pic>
                  <pic:nvPicPr>
                    <pic:cNvPr id="0" name="index-107_2.png" descr="index-107_2.png"/>
                    <pic:cNvPicPr/>
                  </pic:nvPicPr>
                  <pic:blipFill>
                    <a:blip r:embed="rId249"/>
                    <a:stretch>
                      <a:fillRect/>
                    </a:stretch>
                  </pic:blipFill>
                  <pic:spPr>
                    <a:xfrm>
                      <a:off x="0" y="0"/>
                      <a:ext cx="914400" cy="444500"/>
                    </a:xfrm>
                    <a:prstGeom prst="rect">
                      <a:avLst/>
                    </a:prstGeom>
                  </pic:spPr>
                </pic:pic>
              </a:graphicData>
            </a:graphic>
          </wp:anchor>
        </w:drawing>
      </w:r>
    </w:p>
    <w:p>
      <w:pPr>
        <w:pStyle w:val="0 Block"/>
      </w:pPr>
    </w:p>
    <w:p>
      <w:bookmarkStart w:id="113" w:name="Chapter_4_12"/>
      <w:pPr>
        <w:pStyle w:val="Heading 1"/>
        <w:pageBreakBefore w:val="on"/>
      </w:pPr>
      <w:r>
        <w:t>Chapter 4</w:t>
      </w:r>
      <w:bookmarkEnd w:id="113"/>
    </w:p>
    <w:p>
      <w:pPr>
        <w:pStyle w:val="Para 25"/>
      </w:pPr>
      <w:r>
        <w:t/>
      </w:r>
    </w:p>
    <w:p>
      <w:pPr>
        <w:pStyle w:val="Normal"/>
      </w:pPr>
      <w:r>
        <w:t xml:space="preserve">The following list walks you through the process step by step: </w:t>
      </w:r>
    </w:p>
    <w:p>
      <w:pPr>
        <w:pStyle w:val="Para 25"/>
      </w:pPr>
      <w:r>
        <w:t/>
      </w:r>
    </w:p>
    <w:p>
      <w:pPr>
        <w:pStyle w:val="Para 04"/>
      </w:pPr>
      <w:r>
        <w:rPr>
          <w:rStyle w:val="Text1"/>
        </w:rPr>
        <w:t xml:space="preserve">37. </w:t>
      </w:r>
      <w:r>
        <w:t xml:space="preserve">Execute </w:t>
      </w:r>
    </w:p>
    <w:p>
      <w:pPr>
        <w:pStyle w:val="Para 25"/>
      </w:pPr>
      <w:r>
        <w:t/>
      </w:r>
    </w:p>
    <w:p>
      <w:pPr>
        <w:pStyle w:val="Para 11"/>
      </w:pPr>
      <w:r>
        <w:t xml:space="preserve">“setup.exe –r” </w:t>
      </w:r>
    </w:p>
    <w:p>
      <w:pPr>
        <w:pStyle w:val="Para 25"/>
      </w:pPr>
      <w:r>
        <w:t/>
      </w:r>
    </w:p>
    <w:p>
      <w:pPr>
        <w:pStyle w:val="Para 01"/>
      </w:pPr>
      <w:r>
        <w:t xml:space="preserve">at the command line. Note that the program will actually be installed on the system on which you perform this action. </w:t>
      </w:r>
    </w:p>
    <w:p>
      <w:pPr>
        <w:pStyle w:val="Para 25"/>
      </w:pPr>
      <w:r>
        <w:t/>
      </w:r>
    </w:p>
    <w:p>
      <w:pPr>
        <w:pStyle w:val="Para 04"/>
      </w:pPr>
      <w:r>
        <w:rPr>
          <w:rStyle w:val="Text1"/>
        </w:rPr>
        <w:t xml:space="preserve">38. </w:t>
      </w:r>
      <w:r>
        <w:t xml:space="preserve">Answer all dialog boxes through installation. If an option to reboot is presented at the </w:t>
      </w:r>
    </w:p>
    <w:p>
      <w:pPr>
        <w:pStyle w:val="Para 01"/>
      </w:pPr>
      <w:r>
        <w:t xml:space="preserve">end, you may click OK, but be aware that running the created answer file will reboot the system as well. You might want to specify that the installation wizard not initiate a reboot </w:t>
      </w:r>
    </w:p>
    <w:p>
      <w:pPr>
        <w:pStyle w:val="Para 01"/>
      </w:pPr>
      <w:r>
        <w:t xml:space="preserve">so that you can control it yourself using a script or utilizing the capabilities of your </w:t>
      </w:r>
    </w:p>
    <w:p>
      <w:pPr>
        <w:pStyle w:val="Para 01"/>
      </w:pPr>
      <w:r>
        <w:t xml:space="preserve">deployment tools. </w:t>
      </w:r>
    </w:p>
    <w:p>
      <w:pPr>
        <w:pStyle w:val="Para 25"/>
      </w:pPr>
      <w:r>
        <w:t/>
      </w:r>
    </w:p>
    <w:p>
      <w:pPr>
        <w:pStyle w:val="Para 04"/>
      </w:pPr>
      <w:r>
        <w:rPr>
          <w:rStyle w:val="Text1"/>
        </w:rPr>
        <w:t xml:space="preserve">39. </w:t>
      </w:r>
      <w:r>
        <w:t xml:space="preserve">Go to your system root directory, for example “c:\windows” and locate a file named </w:t>
      </w:r>
    </w:p>
    <w:p>
      <w:pPr>
        <w:pStyle w:val="Para 01"/>
      </w:pPr>
      <w:r>
        <w:t xml:space="preserve">SETUP.ISS. </w:t>
      </w:r>
    </w:p>
    <w:p>
      <w:pPr>
        <w:pStyle w:val="Para 25"/>
      </w:pPr>
      <w:r>
        <w:t/>
      </w:r>
    </w:p>
    <w:p>
      <w:pPr>
        <w:pStyle w:val="Para 04"/>
      </w:pPr>
      <w:r>
        <w:rPr>
          <w:rStyle w:val="Text1"/>
        </w:rPr>
        <w:t xml:space="preserve">40. </w:t>
      </w:r>
      <w:r>
        <w:t xml:space="preserve">Copy SETUP.ISS and the installation files (setup.exe and supporting directory structure) </w:t>
      </w:r>
    </w:p>
    <w:p>
      <w:pPr>
        <w:pStyle w:val="Para 01"/>
      </w:pPr>
      <w:r>
        <w:t xml:space="preserve">to a network share. </w:t>
      </w:r>
    </w:p>
    <w:p>
      <w:pPr>
        <w:pStyle w:val="Para 25"/>
      </w:pPr>
      <w:r>
        <w:t/>
      </w:r>
    </w:p>
    <w:p>
      <w:pPr>
        <w:pStyle w:val="Para 04"/>
      </w:pPr>
      <w:r>
        <w:rPr>
          <w:rStyle w:val="Text1"/>
        </w:rPr>
        <w:t xml:space="preserve">41. </w:t>
      </w:r>
      <w:r>
        <w:t xml:space="preserve">A simple batch file containing “setup.exe –s –SMS” will initiate a silent installation of </w:t>
      </w:r>
    </w:p>
    <w:p>
      <w:pPr>
        <w:pStyle w:val="Para 01"/>
      </w:pPr>
      <w:r>
        <w:t xml:space="preserve">the software using the SETUP.ISS file you have stored with setup.exe. </w:t>
      </w:r>
    </w:p>
    <w:p>
      <w:pPr>
        <w:pStyle w:val="Para 25"/>
      </w:pPr>
      <w:r>
        <w:t/>
      </w:r>
    </w:p>
    <w:p>
      <w:pPr>
        <w:pStyle w:val="Para 19"/>
      </w:pPr>
      <w:r>
        <w:t xml:space="preserve">Accessing Source Files Within Self-Extracting Executables </w:t>
      </w:r>
    </w:p>
    <w:p>
      <w:pPr>
        <w:pStyle w:val="Para 03"/>
      </w:pPr>
      <w:r>
        <w:t xml:space="preserve">Is your setup.exe several megabytes in size? This file is likely a self-extracting archive, which </w:t>
        <w:t xml:space="preserve">decompresses itself into the current %TEMP% directory prior to execution. To access these files so that </w:t>
        <w:t xml:space="preserve">you may attempt this answer file process, simply launch setup.exe (with no switches) and go to the </w:t>
        <w:t xml:space="preserve">%TEMP% directory to locate the extracted setup files. You can easily identify the %TEMP% directory </w:t>
        <w:t xml:space="preserve">using the %TEMP% environment variable—on Windows 9x systems, it is typically equal to </w:t>
        <w:t xml:space="preserve">C:\windows\temp, and on Win2K and later systems, it is typically equal to C:\documents and </w:t>
        <w:t>settings\</w:t>
        <w:t xml:space="preserve">\local settings\temp. The files are extracted to a subdirectory created in %TEMP% </w:t>
        <w:t xml:space="preserve">with a small randomly generated folder name as Figure 4.3 illustrates.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11500" cy="2082800"/>
            <wp:effectExtent l="0" r="0" t="0" b="0"/>
            <wp:wrapTopAndBottom/>
            <wp:docPr id="246" name="index-108_1.png" descr="index-108_1.png"/>
            <wp:cNvGraphicFramePr>
              <a:graphicFrameLocks noChangeAspect="1"/>
            </wp:cNvGraphicFramePr>
            <a:graphic>
              <a:graphicData uri="http://schemas.openxmlformats.org/drawingml/2006/picture">
                <pic:pic>
                  <pic:nvPicPr>
                    <pic:cNvPr id="0" name="index-108_1.png" descr="index-108_1.png"/>
                    <pic:cNvPicPr/>
                  </pic:nvPicPr>
                  <pic:blipFill>
                    <a:blip r:embed="rId250"/>
                    <a:stretch>
                      <a:fillRect/>
                    </a:stretch>
                  </pic:blipFill>
                  <pic:spPr>
                    <a:xfrm>
                      <a:off x="0" y="0"/>
                      <a:ext cx="3111500" cy="2082800"/>
                    </a:xfrm>
                    <a:prstGeom prst="rect">
                      <a:avLst/>
                    </a:prstGeom>
                  </pic:spPr>
                </pic:pic>
              </a:graphicData>
            </a:graphic>
          </wp:anchor>
        </w:drawing>
      </w:r>
    </w:p>
    <w:p>
      <w:pPr>
        <w:pStyle w:val="Para 25"/>
      </w:pPr>
      <w:r>
        <w:t/>
      </w:r>
    </w:p>
    <w:p>
      <w:pPr>
        <w:pStyle w:val="Para 10"/>
      </w:pPr>
      <w:r>
        <w:t xml:space="preserve">Figure 4.3: Directory structure of temp with an InstallShield temp directory present.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47" name="index-108_2.png" descr="index-108_2.png"/>
            <wp:cNvGraphicFramePr>
              <a:graphicFrameLocks noChangeAspect="1"/>
            </wp:cNvGraphicFramePr>
            <a:graphic>
              <a:graphicData uri="http://schemas.openxmlformats.org/drawingml/2006/picture">
                <pic:pic>
                  <pic:nvPicPr>
                    <pic:cNvPr id="0" name="index-108_2.png" descr="index-108_2.png"/>
                    <pic:cNvPicPr/>
                  </pic:nvPicPr>
                  <pic:blipFill>
                    <a:blip r:embed="rId25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48" name="index-108_3.png" descr="index-108_3.png"/>
            <wp:cNvGraphicFramePr>
              <a:graphicFrameLocks noChangeAspect="1"/>
            </wp:cNvGraphicFramePr>
            <a:graphic>
              <a:graphicData uri="http://schemas.openxmlformats.org/drawingml/2006/picture">
                <pic:pic>
                  <pic:nvPicPr>
                    <pic:cNvPr id="0" name="index-108_3.png" descr="index-108_3.png"/>
                    <pic:cNvPicPr/>
                  </pic:nvPicPr>
                  <pic:blipFill>
                    <a:blip r:embed="rId252"/>
                    <a:stretch>
                      <a:fillRect/>
                    </a:stretch>
                  </pic:blipFill>
                  <pic:spPr>
                    <a:xfrm>
                      <a:off x="0" y="0"/>
                      <a:ext cx="914400" cy="444500"/>
                    </a:xfrm>
                    <a:prstGeom prst="rect">
                      <a:avLst/>
                    </a:prstGeom>
                  </pic:spPr>
                </pic:pic>
              </a:graphicData>
            </a:graphic>
          </wp:anchor>
        </w:drawing>
      </w:r>
    </w:p>
    <w:p>
      <w:pPr>
        <w:pStyle w:val="0 Block"/>
      </w:pPr>
    </w:p>
    <w:p>
      <w:bookmarkStart w:id="114" w:name="Chapter_4_13"/>
      <w:pPr>
        <w:pStyle w:val="Heading 1"/>
        <w:pageBreakBefore w:val="on"/>
      </w:pPr>
      <w:r>
        <w:t>Chapter 4</w:t>
      </w:r>
      <w:bookmarkEnd w:id="114"/>
    </w:p>
    <w:p>
      <w:pPr>
        <w:pStyle w:val="Para 25"/>
      </w:pPr>
      <w:r>
        <w:t/>
      </w:r>
    </w:p>
    <w:p>
      <w:pPr>
        <w:pStyle w:val="Normal"/>
      </w:pPr>
      <w:r>
        <w:t xml:space="preserve">As stated, the vendor might be unaware of this capability or might have intentionally crippled </w:t>
      </w:r>
    </w:p>
    <w:p>
      <w:pPr>
        <w:pStyle w:val="Normal"/>
      </w:pPr>
      <w:r>
        <w:t xml:space="preserve">this capability. One field commonly used to hide support is a license string field. Because the </w:t>
      </w:r>
    </w:p>
    <w:p>
      <w:pPr>
        <w:pStyle w:val="Normal"/>
      </w:pPr>
      <w:r>
        <w:t xml:space="preserve">vendor does not want their software installed on multiple machines with the same license string, this field may be hidden from capture during the “-r” (record) process. Another common reason </w:t>
      </w:r>
    </w:p>
    <w:p>
      <w:pPr>
        <w:pStyle w:val="Normal"/>
      </w:pPr>
      <w:r>
        <w:t xml:space="preserve">for failure is the presence of a dialog box during the silent installation that was not presented </w:t>
      </w:r>
    </w:p>
    <w:p>
      <w:pPr>
        <w:pStyle w:val="Normal"/>
      </w:pPr>
      <w:r>
        <w:t xml:space="preserve">when you created your answer file. For example, if Netscape is on your system, you might be asked whether you want to install a plug-in, whereas, without Netscape, the question is never </w:t>
      </w:r>
    </w:p>
    <w:p>
      <w:pPr>
        <w:pStyle w:val="Normal"/>
      </w:pPr>
      <w:r>
        <w:t xml:space="preserve">presented. For this reason, you must be sure to test this method of silent installation thoroughly </w:t>
      </w:r>
    </w:p>
    <w:p>
      <w:pPr>
        <w:pStyle w:val="Normal"/>
      </w:pPr>
      <w:r>
        <w:t xml:space="preserve">to be confident of success. </w:t>
      </w:r>
    </w:p>
    <w:p>
      <w:pPr>
        <w:pStyle w:val="Para 25"/>
      </w:pPr>
      <w:r>
        <w:t/>
      </w:r>
    </w:p>
    <w:p>
      <w:pPr>
        <w:pStyle w:val="Normal"/>
      </w:pPr>
      <w:r>
        <w:t xml:space="preserve">Because the installation is performed silently, it is difficult to determine the cause of a problem when one is encountered. The setup.log file that is created contains a section titled </w:t>
      </w:r>
    </w:p>
    <w:p>
      <w:pPr>
        <w:pStyle w:val="Normal"/>
      </w:pPr>
      <w:r>
        <w:t xml:space="preserve">ResponseResult. This section includes a ResultCode value that will contain one of the following </w:t>
      </w:r>
    </w:p>
    <w:p>
      <w:pPr>
        <w:pStyle w:val="Normal"/>
      </w:pPr>
      <w:r>
        <w:t xml:space="preserve">values when complete—typically your only clue in determining what might have gone wrong when testing your installation. Table 4.1 presents the result codes. </w:t>
      </w:r>
    </w:p>
    <w:p>
      <w:pPr>
        <w:pStyle w:val="Para 25"/>
      </w:pPr>
      <w:r>
        <w:t/>
      </w:r>
    </w:p>
    <w:p>
      <w:pPr>
        <w:pStyle w:val="Para 18"/>
      </w:pPr>
      <w:r>
        <w:t xml:space="preserve">ResultCode Value </w:t>
      </w:r>
      <w:r>
        <w:rPr>
          <w:rStyle w:val="Text5"/>
        </w:rPr>
        <w:t xml:space="preserve"> </w:t>
      </w:r>
      <w:r>
        <w:t xml:space="preserve">Definition </w:t>
      </w:r>
    </w:p>
    <w:p>
      <w:pPr>
        <w:pStyle w:val="Para 03"/>
      </w:pPr>
      <w:r>
        <w:t xml:space="preserve">0 </w:t>
      </w:r>
      <w:r>
        <w:rPr>
          <w:rStyle w:val="Text2"/>
        </w:rPr>
        <w:t xml:space="preserve"> </w:t>
      </w:r>
      <w:r>
        <w:t xml:space="preserve">The installation was successful </w:t>
      </w:r>
    </w:p>
    <w:p>
      <w:pPr>
        <w:pStyle w:val="Para 03"/>
      </w:pPr>
      <w:r>
        <w:t xml:space="preserve">-1 </w:t>
      </w:r>
      <w:r>
        <w:rPr>
          <w:rStyle w:val="Text2"/>
        </w:rPr>
        <w:t xml:space="preserve"> </w:t>
      </w:r>
      <w:r>
        <w:t xml:space="preserve">A general error was encountered </w:t>
      </w:r>
    </w:p>
    <w:p>
      <w:pPr>
        <w:pStyle w:val="Para 03"/>
      </w:pPr>
      <w:r>
        <w:t xml:space="preserve">-2 </w:t>
      </w:r>
      <w:r>
        <w:rPr>
          <w:rStyle w:val="Text2"/>
        </w:rPr>
        <w:t xml:space="preserve"> </w:t>
      </w:r>
      <w:r>
        <w:t xml:space="preserve">An invalid mode was specified </w:t>
      </w:r>
    </w:p>
    <w:p>
      <w:pPr>
        <w:pStyle w:val="Para 03"/>
      </w:pPr>
      <w:r>
        <w:t xml:space="preserve">-3 </w:t>
      </w:r>
      <w:r>
        <w:rPr>
          <w:rStyle w:val="Text2"/>
        </w:rPr>
        <w:t xml:space="preserve"> </w:t>
      </w:r>
      <w:r>
        <w:t xml:space="preserve">Required data was not found in the ISS file </w:t>
      </w:r>
    </w:p>
    <w:p>
      <w:pPr>
        <w:pStyle w:val="Para 03"/>
      </w:pPr>
      <w:r>
        <w:t xml:space="preserve">-4 </w:t>
      </w:r>
      <w:r>
        <w:rPr>
          <w:rStyle w:val="Text2"/>
        </w:rPr>
        <w:t xml:space="preserve"> </w:t>
      </w:r>
      <w:r>
        <w:t xml:space="preserve">The system does not have enough memory </w:t>
      </w:r>
    </w:p>
    <w:p>
      <w:pPr>
        <w:pStyle w:val="Para 44"/>
      </w:pPr>
      <w:r>
        <w:t xml:space="preserve">available </w:t>
      </w:r>
    </w:p>
    <w:p>
      <w:pPr>
        <w:pStyle w:val="Para 03"/>
      </w:pPr>
      <w:r>
        <w:t xml:space="preserve">-5 </w:t>
      </w:r>
      <w:r>
        <w:rPr>
          <w:rStyle w:val="Text2"/>
        </w:rPr>
        <w:t xml:space="preserve"> </w:t>
      </w:r>
      <w:r>
        <w:t xml:space="preserve">A specified file does not exist </w:t>
      </w:r>
    </w:p>
    <w:p>
      <w:pPr>
        <w:pStyle w:val="Para 03"/>
      </w:pPr>
      <w:r>
        <w:t xml:space="preserve">-6 </w:t>
      </w:r>
      <w:r>
        <w:rPr>
          <w:rStyle w:val="Text2"/>
        </w:rPr>
        <w:t xml:space="preserve"> </w:t>
      </w:r>
      <w:r>
        <w:t xml:space="preserve">The setup cannot write to the response file </w:t>
      </w:r>
    </w:p>
    <w:p>
      <w:pPr>
        <w:pStyle w:val="Para 03"/>
      </w:pPr>
      <w:r>
        <w:t xml:space="preserve">-7 </w:t>
      </w:r>
      <w:r>
        <w:rPr>
          <w:rStyle w:val="Text2"/>
        </w:rPr>
        <w:t xml:space="preserve"> </w:t>
      </w:r>
      <w:r>
        <w:t xml:space="preserve">The setup was unable to write to the log file </w:t>
      </w:r>
    </w:p>
    <w:p>
      <w:pPr>
        <w:pStyle w:val="Para 03"/>
      </w:pPr>
      <w:r>
        <w:t xml:space="preserve">-8 </w:t>
      </w:r>
      <w:r>
        <w:rPr>
          <w:rStyle w:val="Text2"/>
        </w:rPr>
        <w:t xml:space="preserve"> </w:t>
      </w:r>
      <w:r>
        <w:t xml:space="preserve">An invalid path to the ISS file was specified </w:t>
      </w:r>
    </w:p>
    <w:p>
      <w:pPr>
        <w:pStyle w:val="Para 03"/>
      </w:pPr>
      <w:r>
        <w:t xml:space="preserve">-9 </w:t>
      </w:r>
      <w:r>
        <w:rPr>
          <w:rStyle w:val="Text2"/>
        </w:rPr>
        <w:t xml:space="preserve"> </w:t>
      </w:r>
      <w:r>
        <w:t xml:space="preserve">An invalid list type was specified (string or number) </w:t>
      </w:r>
    </w:p>
    <w:p>
      <w:pPr>
        <w:pStyle w:val="Para 03"/>
      </w:pPr>
      <w:r>
        <w:t xml:space="preserve">-10 </w:t>
      </w:r>
      <w:r>
        <w:rPr>
          <w:rStyle w:val="Text2"/>
        </w:rPr>
        <w:t xml:space="preserve"> </w:t>
      </w:r>
      <w:r>
        <w:t xml:space="preserve">A specified data type is invalid </w:t>
      </w:r>
    </w:p>
    <w:p>
      <w:pPr>
        <w:pStyle w:val="Para 03"/>
      </w:pPr>
      <w:r>
        <w:t xml:space="preserve">-11 </w:t>
      </w:r>
      <w:r>
        <w:rPr>
          <w:rStyle w:val="Text2"/>
        </w:rPr>
        <w:t xml:space="preserve"> </w:t>
      </w:r>
      <w:r>
        <w:t xml:space="preserve">An unknown error was encountered during setup </w:t>
      </w:r>
    </w:p>
    <w:p>
      <w:pPr>
        <w:pStyle w:val="Para 03"/>
      </w:pPr>
      <w:r>
        <w:t xml:space="preserve">-12 </w:t>
      </w:r>
      <w:r>
        <w:rPr>
          <w:rStyle w:val="Text2"/>
        </w:rPr>
        <w:t xml:space="preserve"> </w:t>
      </w:r>
      <w:r>
        <w:t xml:space="preserve">Installation dialog boxes are out of order </w:t>
      </w:r>
    </w:p>
    <w:p>
      <w:pPr>
        <w:pStyle w:val="Para 03"/>
      </w:pPr>
      <w:r>
        <w:t xml:space="preserve">-51 </w:t>
      </w:r>
      <w:r>
        <w:rPr>
          <w:rStyle w:val="Text2"/>
        </w:rPr>
        <w:t xml:space="preserve"> </w:t>
      </w:r>
      <w:r>
        <w:t xml:space="preserve">The setup cannot create the specified folder </w:t>
      </w:r>
    </w:p>
    <w:p>
      <w:pPr>
        <w:pStyle w:val="Para 03"/>
      </w:pPr>
      <w:r>
        <w:t xml:space="preserve">-52 </w:t>
      </w:r>
      <w:r>
        <w:rPr>
          <w:rStyle w:val="Text2"/>
        </w:rPr>
        <w:t xml:space="preserve"> </w:t>
      </w:r>
      <w:r>
        <w:t xml:space="preserve">The setup cannot access the specified file or folder </w:t>
      </w:r>
    </w:p>
    <w:p>
      <w:pPr>
        <w:pStyle w:val="Para 03"/>
      </w:pPr>
      <w:r>
        <w:t xml:space="preserve">-53 </w:t>
      </w:r>
      <w:r>
        <w:rPr>
          <w:rStyle w:val="Text2"/>
        </w:rPr>
        <w:t xml:space="preserve"> </w:t>
      </w:r>
      <w:r>
        <w:t xml:space="preserve">An invalid option was selected </w:t>
      </w:r>
    </w:p>
    <w:p>
      <w:pPr>
        <w:pStyle w:val="Para 25"/>
      </w:pPr>
      <w:r>
        <w:t/>
      </w:r>
    </w:p>
    <w:p>
      <w:pPr>
        <w:pStyle w:val="Para 10"/>
      </w:pPr>
      <w:r>
        <w:t xml:space="preserve">Table 4.1: Result codes and their definitions. </w:t>
      </w:r>
    </w:p>
    <w:p>
      <w:pPr>
        <w:pStyle w:val="Para 25"/>
      </w:pPr>
      <w:r>
        <w:t/>
      </w:r>
    </w:p>
    <w:p>
      <w:pPr>
        <w:pStyle w:val="Para 17"/>
      </w:pPr>
      <w:r>
        <w:t xml:space="preserve">Benefits </w:t>
      </w:r>
    </w:p>
    <w:p>
      <w:pPr>
        <w:pStyle w:val="Normal"/>
      </w:pPr>
      <w:r>
        <w:t xml:space="preserve">As with the command-line installation, answer files offer the advantage of a vendor’s support as well as the benefit of using the installation logic developed for this application. In addition, when </w:t>
      </w:r>
    </w:p>
    <w:p>
      <w:pPr>
        <w:pStyle w:val="Normal"/>
      </w:pPr>
      <w:r>
        <w:t xml:space="preserve">tested successfully, answer files provide the ability to customize the installation to the degree </w:t>
      </w:r>
    </w:p>
    <w:p>
      <w:pPr>
        <w:pStyle w:val="Normal"/>
      </w:pPr>
      <w:r>
        <w:t xml:space="preserve">provided by the vendor in the product’s installation wizard.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49" name="index-109_1.png" descr="index-109_1.png"/>
            <wp:cNvGraphicFramePr>
              <a:graphicFrameLocks noChangeAspect="1"/>
            </wp:cNvGraphicFramePr>
            <a:graphic>
              <a:graphicData uri="http://schemas.openxmlformats.org/drawingml/2006/picture">
                <pic:pic>
                  <pic:nvPicPr>
                    <pic:cNvPr id="0" name="index-109_1.png" descr="index-109_1.png"/>
                    <pic:cNvPicPr/>
                  </pic:nvPicPr>
                  <pic:blipFill>
                    <a:blip r:embed="rId25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50" name="index-109_2.png" descr="index-109_2.png"/>
            <wp:cNvGraphicFramePr>
              <a:graphicFrameLocks noChangeAspect="1"/>
            </wp:cNvGraphicFramePr>
            <a:graphic>
              <a:graphicData uri="http://schemas.openxmlformats.org/drawingml/2006/picture">
                <pic:pic>
                  <pic:nvPicPr>
                    <pic:cNvPr id="0" name="index-109_2.png" descr="index-109_2.png"/>
                    <pic:cNvPicPr/>
                  </pic:nvPicPr>
                  <pic:blipFill>
                    <a:blip r:embed="rId254"/>
                    <a:stretch>
                      <a:fillRect/>
                    </a:stretch>
                  </pic:blipFill>
                  <pic:spPr>
                    <a:xfrm>
                      <a:off x="0" y="0"/>
                      <a:ext cx="914400" cy="444500"/>
                    </a:xfrm>
                    <a:prstGeom prst="rect">
                      <a:avLst/>
                    </a:prstGeom>
                  </pic:spPr>
                </pic:pic>
              </a:graphicData>
            </a:graphic>
          </wp:anchor>
        </w:drawing>
      </w:r>
    </w:p>
    <w:p>
      <w:pPr>
        <w:pStyle w:val="0 Block"/>
      </w:pPr>
    </w:p>
    <w:p>
      <w:bookmarkStart w:id="115" w:name="Chapter_4_14"/>
      <w:pPr>
        <w:pStyle w:val="Heading 1"/>
        <w:pageBreakBefore w:val="on"/>
      </w:pPr>
      <w:r>
        <w:t>Chapter 4</w:t>
      </w:r>
      <w:bookmarkEnd w:id="115"/>
    </w:p>
    <w:p>
      <w:pPr>
        <w:pStyle w:val="Para 25"/>
      </w:pPr>
      <w:r>
        <w:t/>
      </w:r>
    </w:p>
    <w:p>
      <w:pPr>
        <w:pStyle w:val="Para 17"/>
      </w:pPr>
      <w:r>
        <w:t xml:space="preserve">Drawbacks </w:t>
      </w:r>
    </w:p>
    <w:p>
      <w:pPr>
        <w:pStyle w:val="Normal"/>
      </w:pPr>
      <w:r>
        <w:t xml:space="preserve">When an answer file installation does not work, the installation process simply aborts. This </w:t>
      </w:r>
    </w:p>
    <w:p>
      <w:pPr>
        <w:pStyle w:val="Normal"/>
      </w:pPr>
      <w:r>
        <w:t xml:space="preserve">action could be considered positive during deployment, but during development, you are left with no clue as to what went wrong outside the previously discussed result codes. “Dialog Out </w:t>
      </w:r>
    </w:p>
    <w:p>
      <w:pPr>
        <w:pStyle w:val="Normal"/>
      </w:pPr>
      <w:r>
        <w:t xml:space="preserve">Of Order” is not very helpful when you are unable to see which dialog box is causing the </w:t>
      </w:r>
    </w:p>
    <w:p>
      <w:pPr>
        <w:pStyle w:val="Normal"/>
      </w:pPr>
      <w:r>
        <w:t xml:space="preserve">problem. </w:t>
      </w:r>
    </w:p>
    <w:p>
      <w:pPr>
        <w:pStyle w:val="Para 25"/>
      </w:pPr>
      <w:r>
        <w:t/>
      </w:r>
    </w:p>
    <w:p>
      <w:pPr>
        <w:pStyle w:val="Normal"/>
      </w:pPr>
      <w:r>
        <w:t xml:space="preserve">Many setup files spawn other setup processes to install prerequisites or required dependencies. Because it is the setup.exe that is making the call to these installations, you are unable to alter </w:t>
      </w:r>
    </w:p>
    <w:p>
      <w:pPr>
        <w:pStyle w:val="Normal"/>
      </w:pPr>
      <w:r>
        <w:t xml:space="preserve">this behavior in order to silence those spawned installations. You can try installing them </w:t>
      </w:r>
    </w:p>
    <w:p>
      <w:pPr>
        <w:pStyle w:val="Normal"/>
      </w:pPr>
      <w:r>
        <w:t xml:space="preserve">beforehand to see whether the setup program will then bypass the call, but I have found this to work in very few cases and might not be supported by the vendor. If you have a problem, asking </w:t>
      </w:r>
    </w:p>
    <w:p>
      <w:pPr>
        <w:pStyle w:val="Normal"/>
      </w:pPr>
      <w:r>
        <w:t xml:space="preserve">the vendor for help is not likely to be an option unless they have documented the process or </w:t>
      </w:r>
    </w:p>
    <w:p>
      <w:pPr>
        <w:pStyle w:val="Normal"/>
      </w:pPr>
      <w:r>
        <w:t xml:space="preserve">otherwise acknowledged it as a means of installation. Give it a try, but when no command-line or answer file support is available to you, repackaging is a typical next resort. </w:t>
      </w:r>
    </w:p>
    <w:p>
      <w:pPr>
        <w:pStyle w:val="Para 25"/>
      </w:pPr>
      <w:r>
        <w:t/>
      </w:r>
    </w:p>
    <w:p>
      <w:pPr>
        <w:pStyle w:val="Para 09"/>
      </w:pPr>
      <w:r>
        <w:t xml:space="preserve">Repackaging </w:t>
      </w:r>
    </w:p>
    <w:p>
      <w:pPr>
        <w:pStyle w:val="Para 25"/>
      </w:pPr>
      <w:r>
        <w:t/>
      </w:r>
    </w:p>
    <w:p>
      <w:pPr>
        <w:pStyle w:val="Normal"/>
      </w:pPr>
      <w:r>
        <w:t xml:space="preserve">The process of repackaging an application is typically performed by comparing the file system and registry of a computer prior to and after installing a program. The delta is packaged into an </w:t>
      </w:r>
    </w:p>
    <w:p>
      <w:pPr>
        <w:pStyle w:val="Normal"/>
      </w:pPr>
      <w:r>
        <w:t xml:space="preserve">MSI, EXE, or proprietary format, which, when applied to a similarly configured system, will </w:t>
      </w:r>
    </w:p>
    <w:p>
      <w:pPr>
        <w:pStyle w:val="Normal"/>
      </w:pPr>
      <w:r>
        <w:t xml:space="preserve">effectively install the software. </w:t>
      </w:r>
    </w:p>
    <w:p>
      <w:pPr>
        <w:pStyle w:val="Para 25"/>
      </w:pPr>
      <w:r>
        <w:t/>
      </w:r>
    </w:p>
    <w:p>
      <w:pPr>
        <w:pStyle w:val="Para 02"/>
      </w:pPr>
      <w:r>
        <w:t xml:space="preserve">I’ve had several people inquire about statements that often exist in EULA documents that state “You </w:t>
      </w:r>
    </w:p>
    <w:p>
      <w:pPr>
        <w:pStyle w:val="Para 02"/>
      </w:pPr>
      <w:r>
        <w:t xml:space="preserve">may not distribute or repackage the software without written permission.” This statement does not </w:t>
      </w:r>
    </w:p>
    <w:p>
      <w:pPr>
        <w:pStyle w:val="Para 02"/>
      </w:pPr>
      <w:r>
        <w:t xml:space="preserve">refer to packaging and distribution in terms that a desktop administrator would be familiar with. This </w:t>
      </w:r>
    </w:p>
    <w:p>
      <w:pPr>
        <w:pStyle w:val="Para 02"/>
      </w:pPr>
      <w:r>
        <w:t xml:space="preserve">statement is referring to bundling the software with software that you plan to sell (or otherwise </w:t>
      </w:r>
    </w:p>
    <w:p>
      <w:pPr>
        <w:pStyle w:val="Para 02"/>
      </w:pPr>
      <w:r>
        <w:t xml:space="preserve">externally distribute) outside of your organization, including using components of their software within </w:t>
      </w:r>
    </w:p>
    <w:p>
      <w:pPr>
        <w:pStyle w:val="Para 02"/>
      </w:pPr>
      <w:r>
        <w:t xml:space="preserve">your own software or your installation media. </w:t>
      </w:r>
    </w:p>
    <w:p>
      <w:pPr>
        <w:pStyle w:val="Para 25"/>
      </w:pPr>
      <w:r>
        <w:t/>
      </w:r>
    </w:p>
    <w:p>
      <w:pPr>
        <w:pStyle w:val="Normal"/>
      </w:pPr>
      <w:r>
        <w:t xml:space="preserve">When no support for a silent installation is made available by the vendor, repackaging is a </w:t>
      </w:r>
    </w:p>
    <w:p>
      <w:pPr>
        <w:pStyle w:val="Normal"/>
      </w:pPr>
      <w:r>
        <w:t xml:space="preserve">common means of generating one yourself. If the setup is not an MSI and no command-line </w:t>
      </w:r>
    </w:p>
    <w:p>
      <w:pPr>
        <w:pStyle w:val="Normal"/>
      </w:pPr>
      <w:r>
        <w:t xml:space="preserve">support is available, repackaging can provide you with an MSI, executable (EXE), or proprietary formatted installation that can give you the silent installation you desire. </w:t>
      </w:r>
    </w:p>
    <w:p>
      <w:pPr>
        <w:pStyle w:val="Para 25"/>
      </w:pPr>
      <w:r>
        <w:t/>
      </w:r>
    </w:p>
    <w:p>
      <w:pPr>
        <w:pStyle w:val="Para 17"/>
      </w:pPr>
      <w:r>
        <w:t xml:space="preserve">Benefits </w:t>
      </w:r>
    </w:p>
    <w:p>
      <w:pPr>
        <w:pStyle w:val="Normal"/>
      </w:pPr>
      <w:r>
        <w:t xml:space="preserve">When you repackage a setup, you get exactly what you want—a silent installation with all the </w:t>
      </w:r>
    </w:p>
    <w:p>
      <w:pPr>
        <w:pStyle w:val="Normal"/>
      </w:pPr>
      <w:r>
        <w:t xml:space="preserve">customization and settings you decide upon. A great number of vendors do not realize or want to address the common need for a remote or automated deployment of their software. As a result, </w:t>
      </w:r>
    </w:p>
    <w:p>
      <w:pPr>
        <w:pStyle w:val="Normal"/>
      </w:pPr>
      <w:r>
        <w:t xml:space="preserve">repackaging the vendor-provided setup is often a desirable means of creating such support on </w:t>
      </w:r>
    </w:p>
    <w:p>
      <w:pPr>
        <w:pStyle w:val="Normal"/>
      </w:pPr>
      <w:r>
        <w:t xml:space="preserve">your own. </w:t>
      </w:r>
    </w:p>
    <w:p>
      <w:pPr>
        <w:pStyle w:val="Para 25"/>
      </w:pPr>
      <w:r>
        <w:t/>
      </w:r>
    </w:p>
    <w:p>
      <w:pPr>
        <w:pStyle w:val="Para 17"/>
      </w:pPr>
      <w:r>
        <w:t xml:space="preserve">Drawbacks </w:t>
      </w:r>
    </w:p>
    <w:p>
      <w:pPr>
        <w:pStyle w:val="Normal"/>
      </w:pPr>
      <w:r>
        <w:t xml:space="preserve">If you have a problem with a repackaged installation, few vendors will offer support. In addition, </w:t>
      </w:r>
    </w:p>
    <w:p>
      <w:pPr>
        <w:pStyle w:val="Normal"/>
      </w:pPr>
      <w:r>
        <w:t xml:space="preserve">it can often be unclear as to what may and may not belong inside your repackaged version of the </w:t>
      </w:r>
    </w:p>
    <w:p>
      <w:pPr>
        <w:pStyle w:val="Normal"/>
      </w:pPr>
      <w:r>
        <w:t xml:space="preserve">setup.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51" name="index-110_1.png" descr="index-110_1.png"/>
            <wp:cNvGraphicFramePr>
              <a:graphicFrameLocks noChangeAspect="1"/>
            </wp:cNvGraphicFramePr>
            <a:graphic>
              <a:graphicData uri="http://schemas.openxmlformats.org/drawingml/2006/picture">
                <pic:pic>
                  <pic:nvPicPr>
                    <pic:cNvPr id="0" name="index-110_1.png" descr="index-110_1.png"/>
                    <pic:cNvPicPr/>
                  </pic:nvPicPr>
                  <pic:blipFill>
                    <a:blip r:embed="rId25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52" name="index-110_2.png" descr="index-110_2.png"/>
            <wp:cNvGraphicFramePr>
              <a:graphicFrameLocks noChangeAspect="1"/>
            </wp:cNvGraphicFramePr>
            <a:graphic>
              <a:graphicData uri="http://schemas.openxmlformats.org/drawingml/2006/picture">
                <pic:pic>
                  <pic:nvPicPr>
                    <pic:cNvPr id="0" name="index-110_2.png" descr="index-110_2.png"/>
                    <pic:cNvPicPr/>
                  </pic:nvPicPr>
                  <pic:blipFill>
                    <a:blip r:embed="rId256"/>
                    <a:stretch>
                      <a:fillRect/>
                    </a:stretch>
                  </pic:blipFill>
                  <pic:spPr>
                    <a:xfrm>
                      <a:off x="0" y="0"/>
                      <a:ext cx="914400" cy="444500"/>
                    </a:xfrm>
                    <a:prstGeom prst="rect">
                      <a:avLst/>
                    </a:prstGeom>
                  </pic:spPr>
                </pic:pic>
              </a:graphicData>
            </a:graphic>
          </wp:anchor>
        </w:drawing>
      </w:r>
    </w:p>
    <w:p>
      <w:pPr>
        <w:pStyle w:val="0 Block"/>
      </w:pPr>
    </w:p>
    <w:p>
      <w:bookmarkStart w:id="116" w:name="Chapter_4_15"/>
      <w:pPr>
        <w:pStyle w:val="Heading 1"/>
        <w:pageBreakBefore w:val="on"/>
      </w:pPr>
      <w:r>
        <w:t>Chapter 4</w:t>
      </w:r>
      <w:bookmarkEnd w:id="116"/>
    </w:p>
    <w:p>
      <w:pPr>
        <w:pStyle w:val="Para 25"/>
      </w:pPr>
      <w:r>
        <w:t/>
      </w:r>
    </w:p>
    <w:p>
      <w:pPr>
        <w:pStyle w:val="Para 07"/>
      </w:pPr>
      <w:r>
        <w:t xml:space="preserve">Package Development </w:t>
      </w:r>
    </w:p>
    <w:p>
      <w:pPr>
        <w:pStyle w:val="Normal"/>
      </w:pPr>
      <w:r>
        <w:t xml:space="preserve">With the installation media, your installation documentation, and your decided method of </w:t>
      </w:r>
    </w:p>
    <w:p>
      <w:pPr>
        <w:pStyle w:val="Normal"/>
      </w:pPr>
      <w:r>
        <w:t xml:space="preserve">creating your software package, it is time to actually create your package. Your deployment </w:t>
      </w:r>
    </w:p>
    <w:p>
      <w:pPr>
        <w:pStyle w:val="Normal"/>
      </w:pPr>
      <w:r>
        <w:t xml:space="preserve">system often dictates which methods you can use. Because a command-line installation (using </w:t>
      </w:r>
    </w:p>
    <w:p>
      <w:pPr>
        <w:pStyle w:val="Normal"/>
      </w:pPr>
      <w:r>
        <w:t xml:space="preserve">switches or an answer file) requires very little work in this phase, we will focus on repackaging in this section (which requires the most work in this step of the process). For example, we will </w:t>
      </w:r>
    </w:p>
    <w:p>
      <w:pPr>
        <w:pStyle w:val="Normal"/>
      </w:pPr>
      <w:r>
        <w:t xml:space="preserve">cover a couple of the most popular software packages for repackaging, focusing on those </w:t>
      </w:r>
    </w:p>
    <w:p>
      <w:pPr>
        <w:pStyle w:val="Normal"/>
      </w:pPr>
      <w:r>
        <w:t xml:space="preserve">providing support for the Windows Installer (MSI) setup format desired by most administrators today. </w:t>
      </w:r>
    </w:p>
    <w:p>
      <w:pPr>
        <w:pStyle w:val="Para 25"/>
      </w:pPr>
      <w:r>
        <w:t/>
      </w:r>
    </w:p>
    <w:p>
      <w:pPr>
        <w:pStyle w:val="Para 02"/>
      </w:pPr>
      <w:r>
        <w:t xml:space="preserve">For a complete list of repackaging tools, for both MSI and legacy EXE packages, visit the </w:t>
      </w:r>
    </w:p>
    <w:p>
      <w:pPr>
        <w:pStyle w:val="Para 02"/>
      </w:pPr>
      <w:r>
        <w:t xml:space="preserve">AppDeploy.com tool area at http://appdeploy.com/tools/browse.asp?r=1. </w:t>
      </w:r>
    </w:p>
    <w:p>
      <w:pPr>
        <w:pStyle w:val="Para 25"/>
      </w:pPr>
      <w:r>
        <w:t/>
      </w:r>
    </w:p>
    <w:p>
      <w:pPr>
        <w:pStyle w:val="Para 09"/>
      </w:pPr>
      <w:r>
        <w:t xml:space="preserve">OnDemand Software’s WinINSTALL </w:t>
      </w:r>
    </w:p>
    <w:p>
      <w:pPr>
        <w:pStyle w:val="Para 25"/>
      </w:pPr>
      <w:r>
        <w:t/>
      </w:r>
    </w:p>
    <w:p>
      <w:pPr>
        <w:pStyle w:val="Normal"/>
      </w:pPr>
      <w:r>
        <w:t xml:space="preserve">OnDemand Software’s WinINSTALL (see Figure 4.4) has a long history as an administrator tool for both the repackaging and deployment of software packages. Its repackaging capabilities were </w:t>
      </w:r>
    </w:p>
    <w:p>
      <w:pPr>
        <w:pStyle w:val="Normal"/>
      </w:pPr>
      <w:r>
        <w:t xml:space="preserve">included in Win2K Server, and though Windows Server 2003 will not ship with a repackaging </w:t>
      </w:r>
    </w:p>
    <w:p>
      <w:pPr>
        <w:pStyle w:val="Normal"/>
      </w:pPr>
      <w:r>
        <w:t xml:space="preserve">tool, OnDemand will be making an updated version of its repackaging software available for free in support of Windows Server 2003.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59200" cy="1828800"/>
            <wp:effectExtent l="0" r="0" t="0" b="0"/>
            <wp:wrapTopAndBottom/>
            <wp:docPr id="253" name="index-111_1.png" descr="index-111_1.png"/>
            <wp:cNvGraphicFramePr>
              <a:graphicFrameLocks noChangeAspect="1"/>
            </wp:cNvGraphicFramePr>
            <a:graphic>
              <a:graphicData uri="http://schemas.openxmlformats.org/drawingml/2006/picture">
                <pic:pic>
                  <pic:nvPicPr>
                    <pic:cNvPr id="0" name="index-111_1.png" descr="index-111_1.png"/>
                    <pic:cNvPicPr/>
                  </pic:nvPicPr>
                  <pic:blipFill>
                    <a:blip r:embed="rId257"/>
                    <a:stretch>
                      <a:fillRect/>
                    </a:stretch>
                  </pic:blipFill>
                  <pic:spPr>
                    <a:xfrm>
                      <a:off x="0" y="0"/>
                      <a:ext cx="3759200" cy="18288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4.4: WinINSTALL console. </w:t>
      </w:r>
    </w:p>
    <w:p>
      <w:pPr>
        <w:pStyle w:val="Para 25"/>
      </w:pPr>
      <w:r>
        <w:t/>
      </w:r>
    </w:p>
    <w:p>
      <w:pPr>
        <w:pStyle w:val="Normal"/>
      </w:pPr>
      <w:r>
        <w:t xml:space="preserve">The following list offers some of the features that help WinINSTALL 7.5 stand out among </w:t>
      </w:r>
    </w:p>
    <w:p>
      <w:pPr>
        <w:pStyle w:val="Normal"/>
      </w:pPr>
      <w:r>
        <w:t xml:space="preserve">similar tools: </w:t>
      </w:r>
    </w:p>
    <w:p>
      <w:pPr>
        <w:pStyle w:val="Para 25"/>
      </w:pPr>
      <w:r>
        <w:t/>
      </w:r>
    </w:p>
    <w:p>
      <w:pPr>
        <w:pStyle w:val="Para 04"/>
      </w:pPr>
      <w:r>
        <w:t xml:space="preserve">• </w:t>
        <w:t>Provides delivery mechanisms for both push and pull distributions including calendar-</w:t>
      </w:r>
    </w:p>
    <w:p>
      <w:pPr>
        <w:pStyle w:val="Para 01"/>
      </w:pPr>
      <w:r>
        <w:t xml:space="preserve">based scheduling and deployments via an NT service or network logon script; it also </w:t>
      </w:r>
    </w:p>
    <w:p>
      <w:pPr>
        <w:pStyle w:val="Para 01"/>
      </w:pPr>
      <w:r>
        <w:t xml:space="preserve">provides an ability to perform an installation locally from a hidden partition </w:t>
      </w:r>
    </w:p>
    <w:p>
      <w:pPr>
        <w:pStyle w:val="Para 25"/>
      </w:pPr>
      <w:r>
        <w:t/>
      </w:r>
    </w:p>
    <w:p>
      <w:pPr>
        <w:pStyle w:val="Para 04"/>
      </w:pPr>
      <w:r>
        <w:t xml:space="preserve">• Automatically synchronizes packages across distributed WinINSTALL servers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54" name="index-111_2.png" descr="index-111_2.png"/>
            <wp:cNvGraphicFramePr>
              <a:graphicFrameLocks noChangeAspect="1"/>
            </wp:cNvGraphicFramePr>
            <a:graphic>
              <a:graphicData uri="http://schemas.openxmlformats.org/drawingml/2006/picture">
                <pic:pic>
                  <pic:nvPicPr>
                    <pic:cNvPr id="0" name="index-111_2.png" descr="index-111_2.png"/>
                    <pic:cNvPicPr/>
                  </pic:nvPicPr>
                  <pic:blipFill>
                    <a:blip r:embed="rId25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55" name="index-111_3.png" descr="index-111_3.png"/>
            <wp:cNvGraphicFramePr>
              <a:graphicFrameLocks noChangeAspect="1"/>
            </wp:cNvGraphicFramePr>
            <a:graphic>
              <a:graphicData uri="http://schemas.openxmlformats.org/drawingml/2006/picture">
                <pic:pic>
                  <pic:nvPicPr>
                    <pic:cNvPr id="0" name="index-111_3.png" descr="index-111_3.png"/>
                    <pic:cNvPicPr/>
                  </pic:nvPicPr>
                  <pic:blipFill>
                    <a:blip r:embed="rId259"/>
                    <a:stretch>
                      <a:fillRect/>
                    </a:stretch>
                  </pic:blipFill>
                  <pic:spPr>
                    <a:xfrm>
                      <a:off x="0" y="0"/>
                      <a:ext cx="914400" cy="444500"/>
                    </a:xfrm>
                    <a:prstGeom prst="rect">
                      <a:avLst/>
                    </a:prstGeom>
                  </pic:spPr>
                </pic:pic>
              </a:graphicData>
            </a:graphic>
          </wp:anchor>
        </w:drawing>
      </w:r>
    </w:p>
    <w:p>
      <w:pPr>
        <w:pStyle w:val="0 Block"/>
      </w:pPr>
    </w:p>
    <w:p>
      <w:bookmarkStart w:id="117" w:name="Chapter_4_16"/>
      <w:pPr>
        <w:pStyle w:val="Heading 1"/>
        <w:pageBreakBefore w:val="on"/>
      </w:pPr>
      <w:r>
        <w:t>Chapter 4</w:t>
      </w:r>
      <w:bookmarkEnd w:id="117"/>
    </w:p>
    <w:p>
      <w:pPr>
        <w:pStyle w:val="Para 25"/>
      </w:pPr>
      <w:r>
        <w:t/>
      </w:r>
    </w:p>
    <w:p>
      <w:pPr>
        <w:pStyle w:val="Para 04"/>
      </w:pPr>
      <w:r>
        <w:t xml:space="preserve">• </w:t>
        <w:t xml:space="preserve">Compares remote desktop and laptop application installations to the original image as a </w:t>
      </w:r>
    </w:p>
    <w:p>
      <w:pPr>
        <w:pStyle w:val="Para 01"/>
      </w:pPr>
      <w:r>
        <w:t xml:space="preserve">means of troubleshooting </w:t>
      </w:r>
    </w:p>
    <w:p>
      <w:pPr>
        <w:pStyle w:val="Para 25"/>
      </w:pPr>
      <w:r>
        <w:t/>
      </w:r>
    </w:p>
    <w:p>
      <w:pPr>
        <w:pStyle w:val="Para 04"/>
      </w:pPr>
      <w:r>
        <w:t xml:space="preserve">• </w:t>
        <w:t xml:space="preserve">Automates notification of deployment actions via email, SNMP, or the Windows event </w:t>
      </w:r>
    </w:p>
    <w:p>
      <w:pPr>
        <w:pStyle w:val="Para 01"/>
      </w:pPr>
      <w:r>
        <w:t xml:space="preserve">logs </w:t>
      </w:r>
    </w:p>
    <w:p>
      <w:pPr>
        <w:pStyle w:val="Para 25"/>
      </w:pPr>
      <w:r>
        <w:t/>
      </w:r>
    </w:p>
    <w:p>
      <w:pPr>
        <w:pStyle w:val="Para 04"/>
      </w:pPr>
      <w:r>
        <w:t xml:space="preserve">• </w:t>
        <w:t xml:space="preserve">Creates unattended installations of Windows OSs and lets you create and deploy them </w:t>
      </w:r>
    </w:p>
    <w:p>
      <w:pPr>
        <w:pStyle w:val="Para 01"/>
      </w:pPr>
      <w:r>
        <w:t xml:space="preserve">through the same GUI interface. </w:t>
      </w:r>
    </w:p>
    <w:p>
      <w:pPr>
        <w:pStyle w:val="Para 25"/>
      </w:pPr>
      <w:r>
        <w:t/>
      </w:r>
    </w:p>
    <w:p>
      <w:pPr>
        <w:pStyle w:val="Para 09"/>
      </w:pPr>
      <w:r>
        <w:t xml:space="preserve">Wise Package Studio </w:t>
      </w:r>
    </w:p>
    <w:p>
      <w:pPr>
        <w:pStyle w:val="Para 25"/>
      </w:pPr>
      <w:r>
        <w:t/>
      </w:r>
    </w:p>
    <w:p>
      <w:pPr>
        <w:pStyle w:val="Normal"/>
      </w:pPr>
      <w:r>
        <w:t xml:space="preserve">Wise Package Studio also has a long history in the administrator community. The product’s </w:t>
      </w:r>
    </w:p>
    <w:p>
      <w:pPr>
        <w:pStyle w:val="Normal"/>
      </w:pPr>
      <w:r>
        <w:t xml:space="preserve">WiseScript repackaging capability has been around for several years and is familiar to many through Microsoft’s licensing of an early release in the form of the SMS Installer. Wise </w:t>
      </w:r>
    </w:p>
    <w:p>
      <w:pPr>
        <w:pStyle w:val="Normal"/>
      </w:pPr>
      <w:r>
        <w:t xml:space="preserve">expanded the interface and capabilities of WiseScript while providing a similar interface for the </w:t>
      </w:r>
    </w:p>
    <w:p>
      <w:pPr>
        <w:pStyle w:val="Normal"/>
      </w:pPr>
      <w:r>
        <w:t xml:space="preserve">creation of MSI setup packages. Further developed into a full suite of tools for the creation, </w:t>
      </w:r>
    </w:p>
    <w:p>
      <w:pPr>
        <w:pStyle w:val="Normal"/>
      </w:pPr>
      <w:r>
        <w:t xml:space="preserve">modification, and management of packages, Wise Package Studio (see Figure 4.5) also provides a powerful conflict checking and resolution tool that reads package components into a database </w:t>
      </w:r>
    </w:p>
    <w:p>
      <w:pPr>
        <w:pStyle w:val="Normal"/>
      </w:pPr>
      <w:r>
        <w:t xml:space="preserve">so that they can be compared against selected packages to find potential conflicts.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30600" cy="2171700"/>
            <wp:effectExtent l="0" r="0" t="0" b="0"/>
            <wp:wrapTopAndBottom/>
            <wp:docPr id="256" name="index-112_1.png" descr="index-112_1.png"/>
            <wp:cNvGraphicFramePr>
              <a:graphicFrameLocks noChangeAspect="1"/>
            </wp:cNvGraphicFramePr>
            <a:graphic>
              <a:graphicData uri="http://schemas.openxmlformats.org/drawingml/2006/picture">
                <pic:pic>
                  <pic:nvPicPr>
                    <pic:cNvPr id="0" name="index-112_1.png" descr="index-112_1.png"/>
                    <pic:cNvPicPr/>
                  </pic:nvPicPr>
                  <pic:blipFill>
                    <a:blip r:embed="rId260"/>
                    <a:stretch>
                      <a:fillRect/>
                    </a:stretch>
                  </pic:blipFill>
                  <pic:spPr>
                    <a:xfrm>
                      <a:off x="0" y="0"/>
                      <a:ext cx="3530600" cy="21717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4.5: Wise Package Studio Windows Installer Editor. </w:t>
      </w:r>
    </w:p>
    <w:p>
      <w:pPr>
        <w:pStyle w:val="Para 25"/>
      </w:pPr>
      <w:r>
        <w:t/>
      </w:r>
    </w:p>
    <w:p>
      <w:pPr>
        <w:pStyle w:val="Normal"/>
      </w:pPr>
      <w:r>
        <w:t xml:space="preserve">Features provided by Wise Package Studio 4.0 worth mentioning include: </w:t>
      </w:r>
    </w:p>
    <w:p>
      <w:pPr>
        <w:pStyle w:val="Para 25"/>
      </w:pPr>
      <w:r>
        <w:t/>
      </w:r>
    </w:p>
    <w:p>
      <w:pPr>
        <w:pStyle w:val="Para 04"/>
      </w:pPr>
      <w:r>
        <w:t xml:space="preserve">• Pre-built, customizable, “point and click” processes built on best practices promote </w:t>
      </w:r>
    </w:p>
    <w:p>
      <w:pPr>
        <w:pStyle w:val="Para 01"/>
      </w:pPr>
      <w:r>
        <w:t xml:space="preserve">consistent, reproducible results and reduce errors </w:t>
      </w:r>
    </w:p>
    <w:p>
      <w:pPr>
        <w:pStyle w:val="Para 25"/>
      </w:pPr>
      <w:r>
        <w:t/>
      </w:r>
    </w:p>
    <w:p>
      <w:pPr>
        <w:pStyle w:val="Para 04"/>
      </w:pPr>
      <w:r>
        <w:t xml:space="preserve">• </w:t>
        <w:t xml:space="preserve">Workbench interface provides a project-based framework that guides you through all </w:t>
      </w:r>
    </w:p>
    <w:p>
      <w:pPr>
        <w:pStyle w:val="Para 01"/>
      </w:pPr>
      <w:r>
        <w:t xml:space="preserve">phases of a package and release process </w:t>
      </w:r>
    </w:p>
    <w:p>
      <w:pPr>
        <w:pStyle w:val="Para 25"/>
      </w:pPr>
      <w:r>
        <w:t/>
      </w:r>
    </w:p>
    <w:p>
      <w:pPr>
        <w:pStyle w:val="Para 04"/>
      </w:pPr>
      <w:r>
        <w:t xml:space="preserve">• </w:t>
        <w:t xml:space="preserve">Provides the ability to control access to repackaging projects with user security features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57" name="index-112_2.png" descr="index-112_2.png"/>
            <wp:cNvGraphicFramePr>
              <a:graphicFrameLocks noChangeAspect="1"/>
            </wp:cNvGraphicFramePr>
            <a:graphic>
              <a:graphicData uri="http://schemas.openxmlformats.org/drawingml/2006/picture">
                <pic:pic>
                  <pic:nvPicPr>
                    <pic:cNvPr id="0" name="index-112_2.png" descr="index-112_2.png"/>
                    <pic:cNvPicPr/>
                  </pic:nvPicPr>
                  <pic:blipFill>
                    <a:blip r:embed="rId26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58" name="index-112_3.png" descr="index-112_3.png"/>
            <wp:cNvGraphicFramePr>
              <a:graphicFrameLocks noChangeAspect="1"/>
            </wp:cNvGraphicFramePr>
            <a:graphic>
              <a:graphicData uri="http://schemas.openxmlformats.org/drawingml/2006/picture">
                <pic:pic>
                  <pic:nvPicPr>
                    <pic:cNvPr id="0" name="index-112_3.png" descr="index-112_3.png"/>
                    <pic:cNvPicPr/>
                  </pic:nvPicPr>
                  <pic:blipFill>
                    <a:blip r:embed="rId262"/>
                    <a:stretch>
                      <a:fillRect/>
                    </a:stretch>
                  </pic:blipFill>
                  <pic:spPr>
                    <a:xfrm>
                      <a:off x="0" y="0"/>
                      <a:ext cx="914400" cy="444500"/>
                    </a:xfrm>
                    <a:prstGeom prst="rect">
                      <a:avLst/>
                    </a:prstGeom>
                  </pic:spPr>
                </pic:pic>
              </a:graphicData>
            </a:graphic>
          </wp:anchor>
        </w:drawing>
      </w:r>
    </w:p>
    <w:p>
      <w:pPr>
        <w:pStyle w:val="0 Block"/>
      </w:pPr>
    </w:p>
    <w:p>
      <w:bookmarkStart w:id="118" w:name="Chapter_4_17"/>
      <w:pPr>
        <w:pStyle w:val="Heading 1"/>
        <w:pageBreakBefore w:val="on"/>
      </w:pPr>
      <w:r>
        <w:t>Chapter 4</w:t>
      </w:r>
      <w:bookmarkEnd w:id="118"/>
    </w:p>
    <w:p>
      <w:pPr>
        <w:pStyle w:val="Para 25"/>
      </w:pPr>
      <w:r>
        <w:t/>
      </w:r>
    </w:p>
    <w:p>
      <w:pPr>
        <w:pStyle w:val="Para 04"/>
      </w:pPr>
      <w:r>
        <w:t xml:space="preserve">• </w:t>
        <w:t xml:space="preserve">Workflow features let you assign project tasks to individual team members or add items </w:t>
      </w:r>
    </w:p>
    <w:p>
      <w:pPr>
        <w:pStyle w:val="Para 01"/>
      </w:pPr>
      <w:r>
        <w:t xml:space="preserve">to a project’s “To Do” list </w:t>
      </w:r>
    </w:p>
    <w:p>
      <w:pPr>
        <w:pStyle w:val="Para 25"/>
      </w:pPr>
      <w:r>
        <w:t/>
      </w:r>
    </w:p>
    <w:p>
      <w:pPr>
        <w:pStyle w:val="Para 04"/>
      </w:pPr>
      <w:r>
        <w:t xml:space="preserve">• </w:t>
        <w:t xml:space="preserve">Application Gateway feature provides a Web-based portal that tracks applications from </w:t>
      </w:r>
    </w:p>
    <w:p>
      <w:pPr>
        <w:pStyle w:val="Para 01"/>
      </w:pPr>
      <w:r>
        <w:t xml:space="preserve">request to distribution, providing a way of requesting an application and managing the </w:t>
      </w:r>
    </w:p>
    <w:p>
      <w:pPr>
        <w:pStyle w:val="Para 01"/>
      </w:pPr>
      <w:r>
        <w:t xml:space="preserve">application preparation process </w:t>
      </w:r>
    </w:p>
    <w:p>
      <w:pPr>
        <w:pStyle w:val="Para 25"/>
      </w:pPr>
      <w:r>
        <w:t/>
      </w:r>
    </w:p>
    <w:p>
      <w:pPr>
        <w:pStyle w:val="Para 04"/>
      </w:pPr>
      <w:r>
        <w:t xml:space="preserve">• </w:t>
        <w:t xml:space="preserve">Virtual Capture feature provides an ability to perform captures on a “non-clean” machine </w:t>
      </w:r>
    </w:p>
    <w:p>
      <w:pPr>
        <w:pStyle w:val="Para 01"/>
      </w:pPr>
      <w:r>
        <w:t xml:space="preserve">without re-imaging between captures </w:t>
      </w:r>
    </w:p>
    <w:p>
      <w:pPr>
        <w:pStyle w:val="Para 25"/>
      </w:pPr>
      <w:r>
        <w:t/>
      </w:r>
    </w:p>
    <w:p>
      <w:pPr>
        <w:pStyle w:val="Para 09"/>
      </w:pPr>
      <w:r>
        <w:t xml:space="preserve">InstallShield AdminStudio </w:t>
      </w:r>
    </w:p>
    <w:p>
      <w:pPr>
        <w:pStyle w:val="Para 25"/>
      </w:pPr>
      <w:r>
        <w:t/>
      </w:r>
    </w:p>
    <w:p>
      <w:pPr>
        <w:pStyle w:val="Normal"/>
      </w:pPr>
      <w:r>
        <w:t xml:space="preserve">InstallShield AdminStudio provides much of the same functionality present in Wise Package Studio. InstallShield is known as a leader in setup software and have a long history in its offering </w:t>
      </w:r>
    </w:p>
    <w:p>
      <w:pPr>
        <w:pStyle w:val="Normal"/>
      </w:pPr>
      <w:r>
        <w:t xml:space="preserve">of such tools for developers. Although a repackaging tool has been available with the </w:t>
      </w:r>
    </w:p>
    <w:p>
      <w:pPr>
        <w:pStyle w:val="Normal"/>
      </w:pPr>
      <w:r>
        <w:t xml:space="preserve">InstallShield Developer (see Figure 4.6) tool (and earlier releases under different names), it has </w:t>
      </w:r>
    </w:p>
    <w:p>
      <w:pPr>
        <w:pStyle w:val="Normal"/>
      </w:pPr>
      <w:r>
        <w:t xml:space="preserve">not been until the release of AdminStudio that a directed focus on the administrator community has been prevalent. The company has put significant resources into this tool and has produced a </w:t>
      </w:r>
    </w:p>
    <w:p>
      <w:pPr>
        <w:pStyle w:val="Normal"/>
      </w:pPr>
      <w:r>
        <w:t xml:space="preserve">very powerful feature set, offering several new tools and features with each release. In addition </w:t>
      </w:r>
    </w:p>
    <w:p>
      <w:pPr>
        <w:pStyle w:val="Normal"/>
      </w:pPr>
      <w:r>
        <w:t xml:space="preserve">to its other functionality, InstallShield AdminStudio provides repackaging, validation, and conflict resolution features.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97300" cy="1917700"/>
            <wp:effectExtent l="0" r="0" t="0" b="0"/>
            <wp:wrapTopAndBottom/>
            <wp:docPr id="259" name="index-113_1.png" descr="index-113_1.png"/>
            <wp:cNvGraphicFramePr>
              <a:graphicFrameLocks noChangeAspect="1"/>
            </wp:cNvGraphicFramePr>
            <a:graphic>
              <a:graphicData uri="http://schemas.openxmlformats.org/drawingml/2006/picture">
                <pic:pic>
                  <pic:nvPicPr>
                    <pic:cNvPr id="0" name="index-113_1.png" descr="index-113_1.png"/>
                    <pic:cNvPicPr/>
                  </pic:nvPicPr>
                  <pic:blipFill>
                    <a:blip r:embed="rId263"/>
                    <a:stretch>
                      <a:fillRect/>
                    </a:stretch>
                  </pic:blipFill>
                  <pic:spPr>
                    <a:xfrm>
                      <a:off x="0" y="0"/>
                      <a:ext cx="3797300" cy="19177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4.6: InstallShield AdminStudio’s package editor, InstallShield Developer 8. </w:t>
      </w:r>
    </w:p>
    <w:p>
      <w:pPr>
        <w:pStyle w:val="Para 25"/>
      </w:pPr>
      <w:r>
        <w:t/>
      </w:r>
    </w:p>
    <w:p>
      <w:pPr>
        <w:pStyle w:val="Normal"/>
      </w:pPr>
      <w:r>
        <w:t xml:space="preserve">The following list offers some of the features provided by AdminStudio 5.0: </w:t>
      </w:r>
    </w:p>
    <w:p>
      <w:pPr>
        <w:pStyle w:val="Para 25"/>
      </w:pPr>
      <w:r>
        <w:t/>
      </w:r>
    </w:p>
    <w:p>
      <w:pPr>
        <w:pStyle w:val="Para 04"/>
      </w:pPr>
      <w:r>
        <w:t xml:space="preserve">• Allows you to catalog all of your application deployment packages into a single </w:t>
      </w:r>
    </w:p>
    <w:p>
      <w:pPr>
        <w:pStyle w:val="Para 01"/>
      </w:pPr>
      <w:r>
        <w:t xml:space="preserve">enterprise conflict solver so that you can check your applications for a vast range of </w:t>
      </w:r>
    </w:p>
    <w:p>
      <w:pPr>
        <w:pStyle w:val="Para 01"/>
      </w:pPr>
      <w:r>
        <w:t xml:space="preserve">potential conflicts before you deploy them into your production environment </w:t>
      </w:r>
    </w:p>
    <w:p>
      <w:pPr>
        <w:pStyle w:val="Para 25"/>
      </w:pPr>
      <w:r>
        <w:t/>
      </w:r>
    </w:p>
    <w:p>
      <w:pPr>
        <w:pStyle w:val="Para 04"/>
      </w:pPr>
      <w:r>
        <w:t xml:space="preserve">• Includes the full capabilities of InstallShield Developer—AdminStudio includes </w:t>
      </w:r>
    </w:p>
    <w:p>
      <w:pPr>
        <w:pStyle w:val="Para 25"/>
      </w:pPr>
      <w:r>
        <w:t xml:space="preserve">Developer with a selectable interface specifically tailored to systems administrators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60" name="index-113_2.png" descr="index-113_2.png"/>
            <wp:cNvGraphicFramePr>
              <a:graphicFrameLocks noChangeAspect="1"/>
            </wp:cNvGraphicFramePr>
            <a:graphic>
              <a:graphicData uri="http://schemas.openxmlformats.org/drawingml/2006/picture">
                <pic:pic>
                  <pic:nvPicPr>
                    <pic:cNvPr id="0" name="index-113_2.png" descr="index-113_2.png"/>
                    <pic:cNvPicPr/>
                  </pic:nvPicPr>
                  <pic:blipFill>
                    <a:blip r:embed="rId26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61" name="index-113_3.png" descr="index-113_3.png"/>
            <wp:cNvGraphicFramePr>
              <a:graphicFrameLocks noChangeAspect="1"/>
            </wp:cNvGraphicFramePr>
            <a:graphic>
              <a:graphicData uri="http://schemas.openxmlformats.org/drawingml/2006/picture">
                <pic:pic>
                  <pic:nvPicPr>
                    <pic:cNvPr id="0" name="index-113_3.png" descr="index-113_3.png"/>
                    <pic:cNvPicPr/>
                  </pic:nvPicPr>
                  <pic:blipFill>
                    <a:blip r:embed="rId265"/>
                    <a:stretch>
                      <a:fillRect/>
                    </a:stretch>
                  </pic:blipFill>
                  <pic:spPr>
                    <a:xfrm>
                      <a:off x="0" y="0"/>
                      <a:ext cx="914400" cy="444500"/>
                    </a:xfrm>
                    <a:prstGeom prst="rect">
                      <a:avLst/>
                    </a:prstGeom>
                  </pic:spPr>
                </pic:pic>
              </a:graphicData>
            </a:graphic>
          </wp:anchor>
        </w:drawing>
      </w:r>
    </w:p>
    <w:p>
      <w:pPr>
        <w:pStyle w:val="0 Block"/>
      </w:pPr>
    </w:p>
    <w:p>
      <w:bookmarkStart w:id="119" w:name="Chapter_4_18"/>
      <w:pPr>
        <w:pStyle w:val="Heading 1"/>
        <w:pageBreakBefore w:val="on"/>
      </w:pPr>
      <w:r>
        <w:t>Chapter 4</w:t>
      </w:r>
      <w:bookmarkEnd w:id="119"/>
    </w:p>
    <w:p>
      <w:pPr>
        <w:pStyle w:val="Para 25"/>
      </w:pPr>
      <w:r>
        <w:t/>
      </w:r>
    </w:p>
    <w:p>
      <w:pPr>
        <w:pStyle w:val="Para 04"/>
      </w:pPr>
      <w:r>
        <w:t xml:space="preserve">• </w:t>
        <w:t xml:space="preserve">A process-oriented interface allows your team to step through projects, visually tracking </w:t>
      </w:r>
    </w:p>
    <w:p>
      <w:pPr>
        <w:pStyle w:val="Para 01"/>
      </w:pPr>
      <w:r>
        <w:t xml:space="preserve">what’s been done and which tasks remain </w:t>
      </w:r>
    </w:p>
    <w:p>
      <w:pPr>
        <w:pStyle w:val="Para 25"/>
      </w:pPr>
      <w:r>
        <w:t/>
      </w:r>
    </w:p>
    <w:p>
      <w:pPr>
        <w:pStyle w:val="Para 04"/>
      </w:pPr>
      <w:r>
        <w:t xml:space="preserve">• </w:t>
        <w:t xml:space="preserve">Enables distribution of Windows Installer packages to network and FTP locations, as </w:t>
      </w:r>
    </w:p>
    <w:p>
      <w:pPr>
        <w:pStyle w:val="Para 01"/>
      </w:pPr>
      <w:r>
        <w:t xml:space="preserve">administrative installations, or using Marimba channel publish technology </w:t>
      </w:r>
    </w:p>
    <w:p>
      <w:pPr>
        <w:pStyle w:val="Para 25"/>
      </w:pPr>
      <w:r>
        <w:t/>
      </w:r>
    </w:p>
    <w:p>
      <w:pPr>
        <w:pStyle w:val="Para 04"/>
      </w:pPr>
      <w:r>
        <w:t xml:space="preserve">• </w:t>
        <w:t xml:space="preserve">Features its proprietary InstallMonitor technology, which aims to eliminate the need for </w:t>
      </w:r>
    </w:p>
    <w:p>
      <w:pPr>
        <w:pStyle w:val="Para 25"/>
      </w:pPr>
      <w:r>
        <w:t xml:space="preserve">snapshots by monitoring and recording all changes made during the installation </w:t>
      </w:r>
    </w:p>
    <w:p>
      <w:pPr>
        <w:pStyle w:val="Para 25"/>
      </w:pPr>
      <w:r>
        <w:t/>
      </w:r>
    </w:p>
    <w:p>
      <w:pPr>
        <w:pStyle w:val="Para 09"/>
      </w:pPr>
      <w:r>
        <w:t xml:space="preserve">New Boundary Technologies’ Prism Pack </w:t>
      </w:r>
    </w:p>
    <w:p>
      <w:pPr>
        <w:pStyle w:val="Para 25"/>
      </w:pPr>
      <w:r>
        <w:t/>
      </w:r>
    </w:p>
    <w:p>
      <w:pPr>
        <w:pStyle w:val="Normal"/>
      </w:pPr>
      <w:r>
        <w:t xml:space="preserve">Previously known as Picture Taker, New Boundary Technologies’ Prism Pack is a packaging </w:t>
      </w:r>
    </w:p>
    <w:p>
      <w:pPr>
        <w:pStyle w:val="Normal"/>
      </w:pPr>
      <w:r>
        <w:t xml:space="preserve">tool geared toward administrators that has also implemented recent updates to include support for the MSI format. Expanding upon this new functionality, a proprietary transform (MST) </w:t>
      </w:r>
    </w:p>
    <w:p>
      <w:pPr>
        <w:pStyle w:val="Normal"/>
      </w:pPr>
      <w:r>
        <w:t xml:space="preserve">capability is available as well.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1905000"/>
            <wp:effectExtent l="0" r="0" t="0" b="0"/>
            <wp:wrapTopAndBottom/>
            <wp:docPr id="262" name="index-114_1.png" descr="index-114_1.png"/>
            <wp:cNvGraphicFramePr>
              <a:graphicFrameLocks noChangeAspect="1"/>
            </wp:cNvGraphicFramePr>
            <a:graphic>
              <a:graphicData uri="http://schemas.openxmlformats.org/drawingml/2006/picture">
                <pic:pic>
                  <pic:nvPicPr>
                    <pic:cNvPr id="0" name="index-114_1.png" descr="index-114_1.png"/>
                    <pic:cNvPicPr/>
                  </pic:nvPicPr>
                  <pic:blipFill>
                    <a:blip r:embed="rId266"/>
                    <a:stretch>
                      <a:fillRect/>
                    </a:stretch>
                  </pic:blipFill>
                  <pic:spPr>
                    <a:xfrm>
                      <a:off x="0" y="0"/>
                      <a:ext cx="2667000" cy="19050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4.7: Prism Pack snapshot process view. </w:t>
      </w:r>
    </w:p>
    <w:p>
      <w:pPr>
        <w:pStyle w:val="Para 25"/>
      </w:pPr>
      <w:r>
        <w:t/>
      </w:r>
    </w:p>
    <w:p>
      <w:pPr>
        <w:pStyle w:val="Normal"/>
      </w:pPr>
      <w:r>
        <w:t xml:space="preserve">In addition to the functionality listed earlier, the following features help Prism Pack 5.0 stand out </w:t>
      </w:r>
    </w:p>
    <w:p>
      <w:pPr>
        <w:pStyle w:val="Normal"/>
      </w:pPr>
      <w:r>
        <w:t xml:space="preserve">among similar tools: </w:t>
      </w:r>
    </w:p>
    <w:p>
      <w:pPr>
        <w:pStyle w:val="Para 25"/>
      </w:pPr>
      <w:r>
        <w:t/>
      </w:r>
    </w:p>
    <w:p>
      <w:pPr>
        <w:pStyle w:val="Para 04"/>
      </w:pPr>
      <w:r>
        <w:t xml:space="preserve">• Interface is designed to simplify package customization for deployment of a single </w:t>
      </w:r>
    </w:p>
    <w:p>
      <w:pPr>
        <w:pStyle w:val="Para 01"/>
      </w:pPr>
      <w:r>
        <w:t xml:space="preserve">package for a diverse environment </w:t>
      </w:r>
    </w:p>
    <w:p>
      <w:pPr>
        <w:pStyle w:val="Para 25"/>
      </w:pPr>
      <w:r>
        <w:t/>
      </w:r>
    </w:p>
    <w:p>
      <w:pPr>
        <w:pStyle w:val="Para 04"/>
      </w:pPr>
      <w:r>
        <w:t xml:space="preserve">• Inclusion of InstallShield Developer and Tuner products offer you full editing, </w:t>
      </w:r>
    </w:p>
    <w:p>
      <w:pPr>
        <w:pStyle w:val="Para 01"/>
      </w:pPr>
      <w:r>
        <w:t xml:space="preserve">customization, and MST support for Windows Installer files </w:t>
      </w:r>
    </w:p>
    <w:p>
      <w:pPr>
        <w:pStyle w:val="Para 25"/>
      </w:pPr>
      <w:r>
        <w:t/>
      </w:r>
    </w:p>
    <w:p>
      <w:pPr>
        <w:pStyle w:val="Para 04"/>
      </w:pPr>
      <w:r>
        <w:t xml:space="preserve">• </w:t>
        <w:t xml:space="preserve">Smart Variables feature lets you turn a hard-coded value in a package into a variable that </w:t>
      </w:r>
    </w:p>
    <w:p>
      <w:pPr>
        <w:pStyle w:val="Para 01"/>
      </w:pPr>
      <w:r>
        <w:t xml:space="preserve">resolves itself as you tell it—prompt a user or pull a unique setting from each user’s environment or from another variable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63" name="index-114_2.png" descr="index-114_2.png"/>
            <wp:cNvGraphicFramePr>
              <a:graphicFrameLocks noChangeAspect="1"/>
            </wp:cNvGraphicFramePr>
            <a:graphic>
              <a:graphicData uri="http://schemas.openxmlformats.org/drawingml/2006/picture">
                <pic:pic>
                  <pic:nvPicPr>
                    <pic:cNvPr id="0" name="index-114_2.png" descr="index-114_2.png"/>
                    <pic:cNvPicPr/>
                  </pic:nvPicPr>
                  <pic:blipFill>
                    <a:blip r:embed="rId26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64" name="index-114_3.png" descr="index-114_3.png"/>
            <wp:cNvGraphicFramePr>
              <a:graphicFrameLocks noChangeAspect="1"/>
            </wp:cNvGraphicFramePr>
            <a:graphic>
              <a:graphicData uri="http://schemas.openxmlformats.org/drawingml/2006/picture">
                <pic:pic>
                  <pic:nvPicPr>
                    <pic:cNvPr id="0" name="index-114_3.png" descr="index-114_3.png"/>
                    <pic:cNvPicPr/>
                  </pic:nvPicPr>
                  <pic:blipFill>
                    <a:blip r:embed="rId268"/>
                    <a:stretch>
                      <a:fillRect/>
                    </a:stretch>
                  </pic:blipFill>
                  <pic:spPr>
                    <a:xfrm>
                      <a:off x="0" y="0"/>
                      <a:ext cx="914400" cy="444500"/>
                    </a:xfrm>
                    <a:prstGeom prst="rect">
                      <a:avLst/>
                    </a:prstGeom>
                  </pic:spPr>
                </pic:pic>
              </a:graphicData>
            </a:graphic>
          </wp:anchor>
        </w:drawing>
      </w:r>
    </w:p>
    <w:p>
      <w:pPr>
        <w:pStyle w:val="0 Block"/>
      </w:pPr>
    </w:p>
    <w:p>
      <w:bookmarkStart w:id="120" w:name="Chapter_4_19"/>
      <w:pPr>
        <w:pStyle w:val="Heading 1"/>
        <w:pageBreakBefore w:val="on"/>
      </w:pPr>
      <w:r>
        <w:t>Chapter 4</w:t>
      </w:r>
      <w:bookmarkEnd w:id="120"/>
    </w:p>
    <w:p>
      <w:pPr>
        <w:pStyle w:val="Para 25"/>
      </w:pPr>
      <w:r>
        <w:t/>
      </w:r>
    </w:p>
    <w:p>
      <w:pPr>
        <w:pStyle w:val="Para 04"/>
      </w:pPr>
      <w:r>
        <w:t xml:space="preserve">• </w:t>
        <w:t xml:space="preserve">Prism Conflict Checker helps to prevent errors before they occur by evaluating multiple </w:t>
      </w:r>
    </w:p>
    <w:p>
      <w:pPr>
        <w:pStyle w:val="Para 01"/>
      </w:pPr>
      <w:r>
        <w:t xml:space="preserve">deployment packages against one another for conflicts in the system and program files </w:t>
      </w:r>
    </w:p>
    <w:p>
      <w:pPr>
        <w:pStyle w:val="Para 01"/>
      </w:pPr>
      <w:r>
        <w:t xml:space="preserve">and the registry prior to deployment </w:t>
      </w:r>
    </w:p>
    <w:p>
      <w:pPr>
        <w:pStyle w:val="Para 25"/>
      </w:pPr>
      <w:r>
        <w:t/>
      </w:r>
    </w:p>
    <w:p>
      <w:pPr>
        <w:pStyle w:val="Para 04"/>
      </w:pPr>
      <w:r>
        <w:t xml:space="preserve">• </w:t>
        <w:t xml:space="preserve">When it fixes software, it only reinstalls missing or broken files or components making </w:t>
      </w:r>
    </w:p>
    <w:p>
      <w:pPr>
        <w:pStyle w:val="Para 01"/>
      </w:pPr>
      <w:r>
        <w:t xml:space="preserve">the process faster and more bandwidth efficient than MSI’s method of reinstalling at the feature level </w:t>
      </w:r>
    </w:p>
    <w:p>
      <w:pPr>
        <w:pStyle w:val="Para 25"/>
      </w:pPr>
      <w:r>
        <w:t/>
      </w:r>
    </w:p>
    <w:p>
      <w:pPr>
        <w:pStyle w:val="Para 07"/>
      </w:pPr>
      <w:r>
        <w:t xml:space="preserve">Package Testing </w:t>
      </w:r>
    </w:p>
    <w:p>
      <w:pPr>
        <w:pStyle w:val="Normal"/>
      </w:pPr>
      <w:r>
        <w:t xml:space="preserve">It is obviously important to check your package before hitting users with it. Even the most </w:t>
      </w:r>
    </w:p>
    <w:p>
      <w:pPr>
        <w:pStyle w:val="Normal"/>
      </w:pPr>
      <w:r>
        <w:t xml:space="preserve">experienced desktop administrators realize there are problems that occur, and it is best to take </w:t>
      </w:r>
    </w:p>
    <w:p>
      <w:pPr>
        <w:pStyle w:val="Normal"/>
      </w:pPr>
      <w:r>
        <w:t xml:space="preserve">care of them before anyone has to know about it! </w:t>
      </w:r>
    </w:p>
    <w:p>
      <w:pPr>
        <w:pStyle w:val="Para 25"/>
      </w:pPr>
      <w:r>
        <w:t/>
      </w:r>
    </w:p>
    <w:p>
      <w:pPr>
        <w:pStyle w:val="Para 09"/>
      </w:pPr>
      <w:r>
        <w:t xml:space="preserve">Package Quality Assurance </w:t>
      </w:r>
    </w:p>
    <w:p>
      <w:pPr>
        <w:pStyle w:val="Para 25"/>
      </w:pPr>
      <w:r>
        <w:t/>
      </w:r>
    </w:p>
    <w:p>
      <w:pPr>
        <w:pStyle w:val="Normal"/>
      </w:pPr>
      <w:r>
        <w:t xml:space="preserve">To ensure that package is ready for deployment, run your package from the command line. When </w:t>
      </w:r>
    </w:p>
    <w:p>
      <w:pPr>
        <w:pStyle w:val="Normal"/>
      </w:pPr>
      <w:r>
        <w:t xml:space="preserve">it is complete, reboot if the installation will reboot during distribution but do not reboot if the distribution process will not. Now, log off and log on again as a user with standard access to the </w:t>
      </w:r>
    </w:p>
    <w:p>
      <w:pPr>
        <w:pStyle w:val="Normal"/>
      </w:pPr>
      <w:r>
        <w:t xml:space="preserve">system (not an administrator account). </w:t>
      </w:r>
    </w:p>
    <w:p>
      <w:pPr>
        <w:pStyle w:val="Para 25"/>
      </w:pPr>
      <w:r>
        <w:t/>
      </w:r>
    </w:p>
    <w:p>
      <w:pPr>
        <w:pStyle w:val="Normal"/>
      </w:pPr>
      <w:r>
        <w:t xml:space="preserve">Walk through the procedures for testing the application you drafted when you had the user walking through the installation with you. If possible, have your test user return and validate </w:t>
      </w:r>
    </w:p>
    <w:p>
      <w:pPr>
        <w:pStyle w:val="Normal"/>
      </w:pPr>
      <w:r>
        <w:t xml:space="preserve">your package by using the software and verifying any desired optional features are present. </w:t>
      </w:r>
    </w:p>
    <w:p>
      <w:pPr>
        <w:pStyle w:val="Para 25"/>
      </w:pPr>
      <w:r>
        <w:t/>
      </w:r>
    </w:p>
    <w:p>
      <w:pPr>
        <w:pStyle w:val="Normal"/>
      </w:pPr>
      <w:r>
        <w:t xml:space="preserve">For Windows Installer setups, a good test of your package is to prove that a user can successfully </w:t>
      </w:r>
    </w:p>
    <w:p>
      <w:pPr>
        <w:pStyle w:val="Normal"/>
      </w:pPr>
      <w:r>
        <w:t xml:space="preserve">cause MSI to restore missing files and execute properly in the context of an account without administrative access to the computer. The following command line will let you advertise the </w:t>
      </w:r>
    </w:p>
    <w:p>
      <w:pPr>
        <w:pStyle w:val="Normal"/>
      </w:pPr>
      <w:r>
        <w:t xml:space="preserve">setup to your workstation while logged on as a regular user: </w:t>
      </w:r>
    </w:p>
    <w:p>
      <w:pPr>
        <w:pStyle w:val="Para 25"/>
      </w:pPr>
      <w:r>
        <w:t/>
      </w:r>
    </w:p>
    <w:p>
      <w:pPr>
        <w:pStyle w:val="Para 27"/>
      </w:pPr>
      <w:r>
        <w:t xml:space="preserve">runas /user:seti-1\bkelly "msiexec /j z:\mysetup.msi /qb" </w:t>
      </w:r>
    </w:p>
    <w:p>
      <w:pPr>
        <w:pStyle w:val="Para 25"/>
      </w:pPr>
      <w:r>
        <w:t/>
      </w:r>
    </w:p>
    <w:p>
      <w:pPr>
        <w:pStyle w:val="Normal"/>
      </w:pPr>
      <w:r>
        <w:t xml:space="preserve">Advertising only installs any MSI shortcuts; the files will be seen as missing and installed on first use. Double-click the shortcut to trigger an installation and launch of the application. To </w:t>
      </w:r>
    </w:p>
    <w:p>
      <w:pPr>
        <w:pStyle w:val="Normal"/>
      </w:pPr>
      <w:r>
        <w:t xml:space="preserve">account for spaces in a path or file name, you might need to precede the double quotes within the </w:t>
      </w:r>
    </w:p>
    <w:p>
      <w:pPr>
        <w:pStyle w:val="Normal"/>
      </w:pPr>
      <w:r>
        <w:t xml:space="preserve">command line with backslashes (\) as in the following example: </w:t>
      </w:r>
    </w:p>
    <w:p>
      <w:pPr>
        <w:pStyle w:val="Para 25"/>
      </w:pPr>
      <w:r>
        <w:t/>
      </w:r>
    </w:p>
    <w:p>
      <w:pPr>
        <w:pStyle w:val="Para 11"/>
      </w:pPr>
      <w:r>
        <w:t xml:space="preserve">runas /user:seti-1\bkelly "msiexec /j \"z:\my setup.msi\" /qb" </w:t>
      </w:r>
    </w:p>
    <w:p>
      <w:pPr>
        <w:pStyle w:val="Para 25"/>
      </w:pPr>
      <w:r>
        <w:t/>
      </w:r>
    </w:p>
    <w:p>
      <w:pPr>
        <w:pStyle w:val="Para 07"/>
      </w:pPr>
      <w:r>
        <w:t xml:space="preserve">Deployment Testing </w:t>
      </w:r>
    </w:p>
    <w:p>
      <w:pPr>
        <w:pStyle w:val="Normal"/>
      </w:pPr>
      <w:r>
        <w:t xml:space="preserve">Just because you successfully run a package from the command line does not mean that you will have the same results when running it via your deployment system, as Figure 4.8 illustrates. File </w:t>
      </w:r>
    </w:p>
    <w:p>
      <w:pPr>
        <w:pStyle w:val="Normal"/>
      </w:pPr>
      <w:r>
        <w:t xml:space="preserve">paths are often the cause for problems in deployment testing. If there are spaces in the path to the </w:t>
      </w:r>
    </w:p>
    <w:p>
      <w:pPr>
        <w:pStyle w:val="Normal"/>
      </w:pPr>
      <w:r>
        <w:t xml:space="preserve">setup file (or any other file or path you must specify), make certain that you include quotes around them. When you add the possibility of switches and switches that include paths with </w:t>
      </w:r>
    </w:p>
    <w:p>
      <w:pPr>
        <w:pStyle w:val="Normal"/>
      </w:pPr>
      <w:r>
        <w:t xml:space="preserve">quotes, your command line can get a bit ugly and require some playing around to figure out the </w:t>
      </w:r>
    </w:p>
    <w:p>
      <w:pPr>
        <w:pStyle w:val="Normal"/>
      </w:pPr>
      <w:r>
        <w:t xml:space="preserve">correct placement.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65" name="index-115_1.png" descr="index-115_1.png"/>
            <wp:cNvGraphicFramePr>
              <a:graphicFrameLocks noChangeAspect="1"/>
            </wp:cNvGraphicFramePr>
            <a:graphic>
              <a:graphicData uri="http://schemas.openxmlformats.org/drawingml/2006/picture">
                <pic:pic>
                  <pic:nvPicPr>
                    <pic:cNvPr id="0" name="index-115_1.png" descr="index-115_1.png"/>
                    <pic:cNvPicPr/>
                  </pic:nvPicPr>
                  <pic:blipFill>
                    <a:blip r:embed="rId26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66" name="index-115_2.png" descr="index-115_2.png"/>
            <wp:cNvGraphicFramePr>
              <a:graphicFrameLocks noChangeAspect="1"/>
            </wp:cNvGraphicFramePr>
            <a:graphic>
              <a:graphicData uri="http://schemas.openxmlformats.org/drawingml/2006/picture">
                <pic:pic>
                  <pic:nvPicPr>
                    <pic:cNvPr id="0" name="index-115_2.png" descr="index-115_2.png"/>
                    <pic:cNvPicPr/>
                  </pic:nvPicPr>
                  <pic:blipFill>
                    <a:blip r:embed="rId270"/>
                    <a:stretch>
                      <a:fillRect/>
                    </a:stretch>
                  </pic:blipFill>
                  <pic:spPr>
                    <a:xfrm>
                      <a:off x="0" y="0"/>
                      <a:ext cx="914400" cy="444500"/>
                    </a:xfrm>
                    <a:prstGeom prst="rect">
                      <a:avLst/>
                    </a:prstGeom>
                  </pic:spPr>
                </pic:pic>
              </a:graphicData>
            </a:graphic>
          </wp:anchor>
        </w:drawing>
      </w:r>
    </w:p>
    <w:p>
      <w:pPr>
        <w:pStyle w:val="0 Block"/>
      </w:pPr>
    </w:p>
    <w:p>
      <w:bookmarkStart w:id="121" w:name="Chapter_4_20"/>
      <w:pPr>
        <w:pStyle w:val="Heading 1"/>
        <w:pageBreakBefore w:val="on"/>
      </w:pPr>
      <w:r>
        <w:t>Chapter 4</w:t>
      </w:r>
      <w:bookmarkEnd w:id="12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092200"/>
            <wp:effectExtent l="0" r="0" t="0" b="0"/>
            <wp:wrapTopAndBottom/>
            <wp:docPr id="267" name="index-116_1.png" descr="index-116_1.png"/>
            <wp:cNvGraphicFramePr>
              <a:graphicFrameLocks noChangeAspect="1"/>
            </wp:cNvGraphicFramePr>
            <a:graphic>
              <a:graphicData uri="http://schemas.openxmlformats.org/drawingml/2006/picture">
                <pic:pic>
                  <pic:nvPicPr>
                    <pic:cNvPr id="0" name="index-116_1.png" descr="index-116_1.png"/>
                    <pic:cNvPicPr/>
                  </pic:nvPicPr>
                  <pic:blipFill>
                    <a:blip r:embed="rId271"/>
                    <a:stretch>
                      <a:fillRect/>
                    </a:stretch>
                  </pic:blipFill>
                  <pic:spPr>
                    <a:xfrm>
                      <a:off x="0" y="0"/>
                      <a:ext cx="1905000" cy="1092200"/>
                    </a:xfrm>
                    <a:prstGeom prst="rect">
                      <a:avLst/>
                    </a:prstGeom>
                  </pic:spPr>
                </pic:pic>
              </a:graphicData>
            </a:graphic>
          </wp:anchor>
        </w:drawing>
      </w:r>
    </w:p>
    <w:p>
      <w:pPr>
        <w:pStyle w:val="Para 25"/>
      </w:pPr>
      <w:r>
        <w:t/>
      </w:r>
    </w:p>
    <w:p>
      <w:pPr>
        <w:pStyle w:val="Para 26"/>
      </w:pPr>
      <w:r>
        <w:t xml:space="preserve"> </w:t>
      </w:r>
    </w:p>
    <w:p>
      <w:pPr>
        <w:pStyle w:val="Para 25"/>
      </w:pPr>
      <w:r>
        <w:t/>
      </w:r>
    </w:p>
    <w:p>
      <w:pPr>
        <w:pStyle w:val="Para 10"/>
      </w:pPr>
      <w:r>
        <w:t xml:space="preserve">Figure 4.8: When an invalid command line is passed to the Windows Installer, the system presents this </w:t>
        <w:t xml:space="preserve">dialog box. </w:t>
      </w:r>
    </w:p>
    <w:p>
      <w:pPr>
        <w:pStyle w:val="Para 25"/>
      </w:pPr>
      <w:r>
        <w:t/>
      </w:r>
    </w:p>
    <w:p>
      <w:pPr>
        <w:pStyle w:val="Para 07"/>
      </w:pPr>
      <w:r>
        <w:t xml:space="preserve">Pilot Deployment </w:t>
      </w:r>
    </w:p>
    <w:p>
      <w:pPr>
        <w:pStyle w:val="Normal"/>
      </w:pPr>
      <w:r>
        <w:t xml:space="preserve">Before you send your package to hundreds or thousands of workstations, a period of real-world </w:t>
      </w:r>
    </w:p>
    <w:p>
      <w:pPr>
        <w:pStyle w:val="Normal"/>
      </w:pPr>
      <w:r>
        <w:t xml:space="preserve">use is instrumental in a successful rollout. Many organizations make the mistake of allowing their network administrators to serve as pilot users. As they likely have administrative control of </w:t>
      </w:r>
    </w:p>
    <w:p>
      <w:pPr>
        <w:pStyle w:val="Normal"/>
      </w:pPr>
      <w:r>
        <w:t>their systems, this test does not give you a good picture of how normal users will be affected—</w:t>
      </w:r>
    </w:p>
    <w:p>
      <w:pPr>
        <w:pStyle w:val="Normal"/>
      </w:pPr>
      <w:r>
        <w:t xml:space="preserve">the main goal of a pilot deployment. Even if the administrators primarily use accounts with normal user access, the fact that they have administrative accounts might still hinder proper </w:t>
      </w:r>
    </w:p>
    <w:p>
      <w:pPr>
        <w:pStyle w:val="Normal"/>
      </w:pPr>
      <w:r>
        <w:t xml:space="preserve">testing. For example, if an installation performs actions at next logon, they might be unsuccessful </w:t>
      </w:r>
    </w:p>
    <w:p>
      <w:pPr>
        <w:pStyle w:val="Normal"/>
      </w:pPr>
      <w:r>
        <w:t xml:space="preserve">for a user with normal access. Even if administrators don’t use their administrator accounts to </w:t>
      </w:r>
    </w:p>
    <w:p>
      <w:pPr>
        <w:pStyle w:val="Normal"/>
      </w:pPr>
      <w:r>
        <w:t xml:space="preserve">test the package, the simple act of logging on as an administrator could hide a potentially big problem. </w:t>
      </w:r>
    </w:p>
    <w:p>
      <w:pPr>
        <w:pStyle w:val="Para 25"/>
      </w:pPr>
      <w:r>
        <w:t/>
      </w:r>
    </w:p>
    <w:p>
      <w:pPr>
        <w:pStyle w:val="Para 09"/>
      </w:pPr>
      <w:r>
        <w:t xml:space="preserve">Volunteers Anyone? </w:t>
      </w:r>
    </w:p>
    <w:p>
      <w:pPr>
        <w:pStyle w:val="Para 25"/>
      </w:pPr>
      <w:r>
        <w:t/>
      </w:r>
    </w:p>
    <w:p>
      <w:pPr>
        <w:pStyle w:val="Normal"/>
      </w:pPr>
      <w:r>
        <w:t xml:space="preserve">If you ask for volunteers from different business functions within your organization, you will get better coverage of different user habits than if administrators perform this task. The idea of </w:t>
      </w:r>
    </w:p>
    <w:p>
      <w:pPr>
        <w:pStyle w:val="Normal"/>
      </w:pPr>
      <w:r>
        <w:t xml:space="preserve">getting new software before everyone else is enticing to some users, who might happily </w:t>
      </w:r>
    </w:p>
    <w:p>
      <w:pPr>
        <w:pStyle w:val="Normal"/>
      </w:pPr>
      <w:r>
        <w:t xml:space="preserve">volunteer to take part in your pilot software deployments. Ensure that the users taking part in the pilot testing understand the risks involved. Having users sign an agreement to acknowledge the </w:t>
      </w:r>
    </w:p>
    <w:p>
      <w:pPr>
        <w:pStyle w:val="Normal"/>
      </w:pPr>
      <w:r>
        <w:t xml:space="preserve">understanding of these risks is an action taken by many organizations to alleviate potential </w:t>
      </w:r>
    </w:p>
    <w:p>
      <w:pPr>
        <w:pStyle w:val="Normal"/>
      </w:pPr>
      <w:r>
        <w:t xml:space="preserve">problems down the road. </w:t>
      </w:r>
    </w:p>
    <w:p>
      <w:pPr>
        <w:pStyle w:val="Para 25"/>
      </w:pPr>
      <w:r>
        <w:t/>
      </w:r>
    </w:p>
    <w:p>
      <w:pPr>
        <w:pStyle w:val="Normal"/>
      </w:pPr>
      <w:r>
        <w:t xml:space="preserve">Collecting and acting on pilot results is crucial to the package testing process. Often a fixed group of users receive all packages and simply notify desktop administrators if a problem is </w:t>
      </w:r>
    </w:p>
    <w:p>
      <w:pPr>
        <w:pStyle w:val="Normal"/>
      </w:pPr>
      <w:r>
        <w:t xml:space="preserve">encountered. Although better than nothing, relying on reports of problems alone is not an </w:t>
      </w:r>
    </w:p>
    <w:p>
      <w:pPr>
        <w:pStyle w:val="Normal"/>
      </w:pPr>
      <w:r>
        <w:t xml:space="preserve">efficient or effective method of determining success. Ask specific questions of your pilot users and, to keep it from becoming routine, change your questions regularly. </w:t>
      </w:r>
    </w:p>
    <w:p>
      <w:pPr>
        <w:pStyle w:val="Para 25"/>
      </w:pPr>
      <w:r>
        <w:t/>
      </w:r>
    </w:p>
    <w:p>
      <w:pPr>
        <w:pStyle w:val="Normal"/>
      </w:pPr>
      <w:r>
        <w:t xml:space="preserve">Normally communicated via email, some kind of tracking method should be in place for future </w:t>
      </w:r>
    </w:p>
    <w:p>
      <w:pPr>
        <w:pStyle w:val="Normal"/>
      </w:pPr>
      <w:r>
        <w:t xml:space="preserve">reference. Store responses in a separate mail folder, and for responses of significance, use the Save As option of your email software to store a text version of the email in the package folder </w:t>
      </w:r>
    </w:p>
    <w:p>
      <w:pPr>
        <w:pStyle w:val="Normal"/>
      </w:pPr>
      <w:r>
        <w:t xml:space="preserve">structure (see Figure 4.1 earlier in this chapter). </w:t>
      </w:r>
    </w:p>
    <w:p>
      <w:pPr>
        <w:pStyle w:val="Para 25"/>
      </w:pPr>
      <w:r>
        <w:t/>
      </w:r>
    </w:p>
    <w:p>
      <w:pPr>
        <w:pStyle w:val="Normal"/>
      </w:pPr>
      <w:r>
        <w:t xml:space="preserve">A next step in using email tracking for pilot results is to make use of Outlook forms or similar </w:t>
      </w:r>
    </w:p>
    <w:p>
      <w:pPr>
        <w:pStyle w:val="Normal"/>
      </w:pPr>
      <w:r>
        <w:t xml:space="preserve">functionality using other mail systems. More robust tracking systems include making use of databases and Web-based forms and reports. Whatever method you choose, keep retention of </w:t>
      </w:r>
    </w:p>
    <w:p>
      <w:pPr>
        <w:pStyle w:val="Normal"/>
      </w:pPr>
      <w:r>
        <w:t>collected information in mind.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68" name="index-116_2.png" descr="index-116_2.png"/>
            <wp:cNvGraphicFramePr>
              <a:graphicFrameLocks noChangeAspect="1"/>
            </wp:cNvGraphicFramePr>
            <a:graphic>
              <a:graphicData uri="http://schemas.openxmlformats.org/drawingml/2006/picture">
                <pic:pic>
                  <pic:nvPicPr>
                    <pic:cNvPr id="0" name="index-116_2.png" descr="index-116_2.png"/>
                    <pic:cNvPicPr/>
                  </pic:nvPicPr>
                  <pic:blipFill>
                    <a:blip r:embed="rId27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69" name="index-116_3.png" descr="index-116_3.png"/>
            <wp:cNvGraphicFramePr>
              <a:graphicFrameLocks noChangeAspect="1"/>
            </wp:cNvGraphicFramePr>
            <a:graphic>
              <a:graphicData uri="http://schemas.openxmlformats.org/drawingml/2006/picture">
                <pic:pic>
                  <pic:nvPicPr>
                    <pic:cNvPr id="0" name="index-116_3.png" descr="index-116_3.png"/>
                    <pic:cNvPicPr/>
                  </pic:nvPicPr>
                  <pic:blipFill>
                    <a:blip r:embed="rId273"/>
                    <a:stretch>
                      <a:fillRect/>
                    </a:stretch>
                  </pic:blipFill>
                  <pic:spPr>
                    <a:xfrm>
                      <a:off x="0" y="0"/>
                      <a:ext cx="914400" cy="444500"/>
                    </a:xfrm>
                    <a:prstGeom prst="rect">
                      <a:avLst/>
                    </a:prstGeom>
                  </pic:spPr>
                </pic:pic>
              </a:graphicData>
            </a:graphic>
          </wp:anchor>
        </w:drawing>
      </w:r>
    </w:p>
    <w:p>
      <w:pPr>
        <w:pStyle w:val="0 Block"/>
      </w:pPr>
    </w:p>
    <w:p>
      <w:bookmarkStart w:id="122" w:name="Chapter_4_21"/>
      <w:pPr>
        <w:pStyle w:val="Heading 1"/>
        <w:pageBreakBefore w:val="on"/>
      </w:pPr>
      <w:r>
        <w:t>Chapter 4</w:t>
      </w:r>
      <w:bookmarkEnd w:id="122"/>
    </w:p>
    <w:p>
      <w:pPr>
        <w:pStyle w:val="Para 25"/>
      </w:pPr>
      <w:r>
        <w:t/>
      </w:r>
    </w:p>
    <w:p>
      <w:pPr>
        <w:pStyle w:val="Para 07"/>
      </w:pPr>
      <w:r>
        <w:t xml:space="preserve">Full-Scale Deployment </w:t>
      </w:r>
    </w:p>
    <w:p>
      <w:pPr>
        <w:pStyle w:val="Para 25"/>
      </w:pPr>
      <w:r>
        <w:t/>
      </w:r>
    </w:p>
    <w:p>
      <w:pPr>
        <w:pStyle w:val="Normal"/>
      </w:pPr>
      <w:r>
        <w:t xml:space="preserve">Here we go—deployment time! Roll out the software in groups, over a couple of nights (or </w:t>
      </w:r>
    </w:p>
    <w:p>
      <w:pPr>
        <w:pStyle w:val="Normal"/>
      </w:pPr>
      <w:r>
        <w:t xml:space="preserve">weeks if you have a very large network). Doing so will help minimize the impact of any problems you might have missed in your testing thus far. </w:t>
      </w:r>
    </w:p>
    <w:p>
      <w:pPr>
        <w:pStyle w:val="Para 25"/>
      </w:pPr>
      <w:r>
        <w:t/>
      </w:r>
    </w:p>
    <w:p>
      <w:pPr>
        <w:pStyle w:val="Para 09"/>
      </w:pPr>
      <w:r>
        <w:t xml:space="preserve">User Notification </w:t>
      </w:r>
    </w:p>
    <w:p>
      <w:pPr>
        <w:pStyle w:val="Para 25"/>
      </w:pPr>
      <w:r>
        <w:t/>
      </w:r>
    </w:p>
    <w:p>
      <w:pPr>
        <w:pStyle w:val="Normal"/>
      </w:pPr>
      <w:r>
        <w:t xml:space="preserve">Some board or group of managers for the departments in your organization should be notified of your deployment schedule on a regular basis. Some organizations limit deployments to once per </w:t>
      </w:r>
    </w:p>
    <w:p>
      <w:pPr>
        <w:pStyle w:val="Normal"/>
      </w:pPr>
      <w:r>
        <w:t xml:space="preserve">month or quarter or even bi-annually, but many are on an almost constant release schedule. </w:t>
      </w:r>
    </w:p>
    <w:p>
      <w:pPr>
        <w:pStyle w:val="Normal"/>
      </w:pPr>
      <w:r>
        <w:t xml:space="preserve">Notify departments and users as appropriate to ensure that they have an opportunity to notify you </w:t>
      </w:r>
    </w:p>
    <w:p>
      <w:pPr>
        <w:pStyle w:val="Normal"/>
      </w:pPr>
      <w:r>
        <w:t xml:space="preserve">of critical activities that might demand a modification of your deployment schedule. Some organizations post a Web page or spreadsheet of their deployment schedule for users to view as </w:t>
      </w:r>
    </w:p>
    <w:p>
      <w:pPr>
        <w:pStyle w:val="Normal"/>
      </w:pPr>
      <w:r>
        <w:t xml:space="preserve">desired. Most organizations make use of internal email to send more focused announcements. </w:t>
      </w:r>
    </w:p>
    <w:p>
      <w:pPr>
        <w:pStyle w:val="Normal"/>
      </w:pPr>
      <w:r>
        <w:t xml:space="preserve">Include in your communications to users information about what will change and which new features will be included in a deployment. If you’re installing an update, explain what is new. If </w:t>
      </w:r>
    </w:p>
    <w:p>
      <w:pPr>
        <w:pStyle w:val="Normal"/>
      </w:pPr>
      <w:r>
        <w:t xml:space="preserve">you’re deploying a new application, provide information about why you’re deploying it and how </w:t>
      </w:r>
    </w:p>
    <w:p>
      <w:pPr>
        <w:pStyle w:val="Normal"/>
      </w:pPr>
      <w:r>
        <w:t xml:space="preserve">to use it. Make sure that users know what is coming—and providing them with a list of new features and benefits will even have them looking forward to the release. </w:t>
      </w:r>
    </w:p>
    <w:p>
      <w:pPr>
        <w:pStyle w:val="Para 25"/>
      </w:pPr>
      <w:r>
        <w:t/>
      </w:r>
    </w:p>
    <w:p>
      <w:pPr>
        <w:pStyle w:val="Para 09"/>
      </w:pPr>
      <w:r>
        <w:t xml:space="preserve">Track Successes and Failures </w:t>
      </w:r>
    </w:p>
    <w:p>
      <w:pPr>
        <w:pStyle w:val="Para 25"/>
      </w:pPr>
      <w:r>
        <w:t/>
      </w:r>
    </w:p>
    <w:p>
      <w:pPr>
        <w:pStyle w:val="Normal"/>
      </w:pPr>
      <w:r>
        <w:t xml:space="preserve">Don’t wait to count how many complaints there are to determine success. Most deployment </w:t>
      </w:r>
    </w:p>
    <w:p>
      <w:pPr>
        <w:pStyle w:val="Normal"/>
      </w:pPr>
      <w:r>
        <w:t xml:space="preserve">suites provide some method of reporting to notify administrators of success or (if an error is encountered) failure. For failures, learn as much as you are able about what went wrong so that </w:t>
      </w:r>
    </w:p>
    <w:p>
      <w:pPr>
        <w:pStyle w:val="Normal"/>
      </w:pPr>
      <w:r>
        <w:t xml:space="preserve">you can improve your process or take further parameters into consideration for your next </w:t>
      </w:r>
    </w:p>
    <w:p>
      <w:pPr>
        <w:pStyle w:val="Normal"/>
      </w:pPr>
      <w:r>
        <w:t xml:space="preserve">deployment. </w:t>
      </w:r>
    </w:p>
    <w:p>
      <w:pPr>
        <w:pStyle w:val="Para 25"/>
      </w:pPr>
      <w:r>
        <w:t/>
      </w:r>
    </w:p>
    <w:p>
      <w:pPr>
        <w:pStyle w:val="Normal"/>
      </w:pPr>
      <w:r>
        <w:t xml:space="preserve">Management will want to know what the success rate was for the deployment. You can calculate </w:t>
      </w:r>
    </w:p>
    <w:p>
      <w:pPr>
        <w:pStyle w:val="Normal"/>
      </w:pPr>
      <w:r>
        <w:t xml:space="preserve">this rate of success by dividing the number of successful installations by the number of target </w:t>
      </w:r>
    </w:p>
    <w:p>
      <w:pPr>
        <w:pStyle w:val="Normal"/>
      </w:pPr>
      <w:r>
        <w:t xml:space="preserve">systems: </w:t>
      </w:r>
    </w:p>
    <w:p>
      <w:pPr>
        <w:pStyle w:val="Para 25"/>
      </w:pPr>
      <w:r>
        <w:t/>
      </w:r>
    </w:p>
    <w:p>
      <w:pPr>
        <w:pStyle w:val="Para 11"/>
      </w:pPr>
      <w:r>
        <w:t xml:space="preserve">(Successful Installations / Total Target Systems) × 100 = Success Rate </w:t>
      </w:r>
    </w:p>
    <w:p>
      <w:pPr>
        <w:pStyle w:val="Para 15"/>
      </w:pPr>
      <w:r>
        <w:t xml:space="preserve">740 Successful installations </w:t>
      </w:r>
    </w:p>
    <w:p>
      <w:pPr>
        <w:pStyle w:val="Para 15"/>
      </w:pPr>
      <w:r>
        <w:t xml:space="preserve">932 Target systems </w:t>
      </w:r>
    </w:p>
    <w:p>
      <w:pPr>
        <w:pStyle w:val="Para 15"/>
      </w:pPr>
      <w:r>
        <w:t xml:space="preserve">79.3% Success Rate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70" name="index-117_1.png" descr="index-117_1.png"/>
            <wp:cNvGraphicFramePr>
              <a:graphicFrameLocks noChangeAspect="1"/>
            </wp:cNvGraphicFramePr>
            <a:graphic>
              <a:graphicData uri="http://schemas.openxmlformats.org/drawingml/2006/picture">
                <pic:pic>
                  <pic:nvPicPr>
                    <pic:cNvPr id="0" name="index-117_1.png" descr="index-117_1.png"/>
                    <pic:cNvPicPr/>
                  </pic:nvPicPr>
                  <pic:blipFill>
                    <a:blip r:embed="rId27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71" name="index-117_2.png" descr="index-117_2.png"/>
            <wp:cNvGraphicFramePr>
              <a:graphicFrameLocks noChangeAspect="1"/>
            </wp:cNvGraphicFramePr>
            <a:graphic>
              <a:graphicData uri="http://schemas.openxmlformats.org/drawingml/2006/picture">
                <pic:pic>
                  <pic:nvPicPr>
                    <pic:cNvPr id="0" name="index-117_2.png" descr="index-117_2.png"/>
                    <pic:cNvPicPr/>
                  </pic:nvPicPr>
                  <pic:blipFill>
                    <a:blip r:embed="rId275"/>
                    <a:stretch>
                      <a:fillRect/>
                    </a:stretch>
                  </pic:blipFill>
                  <pic:spPr>
                    <a:xfrm>
                      <a:off x="0" y="0"/>
                      <a:ext cx="914400" cy="444500"/>
                    </a:xfrm>
                    <a:prstGeom prst="rect">
                      <a:avLst/>
                    </a:prstGeom>
                  </pic:spPr>
                </pic:pic>
              </a:graphicData>
            </a:graphic>
          </wp:anchor>
        </w:drawing>
      </w:r>
    </w:p>
    <w:p>
      <w:pPr>
        <w:pStyle w:val="0 Block"/>
      </w:pPr>
    </w:p>
    <w:p>
      <w:bookmarkStart w:id="123" w:name="Chapter_4_22"/>
      <w:pPr>
        <w:pStyle w:val="Heading 1"/>
        <w:pageBreakBefore w:val="on"/>
      </w:pPr>
      <w:r>
        <w:t>Chapter 4</w:t>
      </w:r>
      <w:bookmarkEnd w:id="123"/>
    </w:p>
    <w:p>
      <w:pPr>
        <w:pStyle w:val="Para 25"/>
      </w:pPr>
      <w:r>
        <w:t/>
      </w:r>
    </w:p>
    <w:p>
      <w:pPr>
        <w:pStyle w:val="Normal"/>
      </w:pPr>
      <w:r>
        <w:t xml:space="preserve">To help with your success rate, establish what will be counted as a </w:t>
      </w:r>
      <w:r>
        <w:rPr>
          <w:rStyle w:val="Text0"/>
        </w:rPr>
        <w:t>deployable system</w:t>
      </w:r>
      <w:r>
        <w:t xml:space="preserve">. If a </w:t>
      </w:r>
    </w:p>
    <w:p>
      <w:pPr>
        <w:pStyle w:val="Normal"/>
      </w:pPr>
      <w:r>
        <w:t xml:space="preserve">machine is powered off or no longer exists, these machines should be included in the calculation </w:t>
      </w:r>
    </w:p>
    <w:p>
      <w:pPr>
        <w:pStyle w:val="Normal"/>
      </w:pPr>
      <w:r>
        <w:t xml:space="preserve">you present to management: </w:t>
      </w:r>
    </w:p>
    <w:p>
      <w:pPr>
        <w:pStyle w:val="Para 25"/>
      </w:pPr>
      <w:r>
        <w:t/>
      </w:r>
    </w:p>
    <w:p>
      <w:pPr>
        <w:pStyle w:val="Para 11"/>
      </w:pPr>
      <w:r>
        <w:t xml:space="preserve">[Successful Installations / (Total Target Systems - Powered Off or </w:t>
        <w:t xml:space="preserve">Invalid Systems)] × 100 = Success Rate </w:t>
      </w:r>
    </w:p>
    <w:p>
      <w:pPr>
        <w:pStyle w:val="Para 15"/>
      </w:pPr>
      <w:r>
        <w:t xml:space="preserve">740 Successful installations </w:t>
      </w:r>
    </w:p>
    <w:p>
      <w:pPr>
        <w:pStyle w:val="Para 15"/>
      </w:pPr>
      <w:r>
        <w:t xml:space="preserve">932 Target systems </w:t>
      </w:r>
    </w:p>
    <w:p>
      <w:pPr>
        <w:pStyle w:val="Para 15"/>
      </w:pPr>
      <w:r>
        <w:t xml:space="preserve">128 Machines powered down </w:t>
      </w:r>
    </w:p>
    <w:p>
      <w:pPr>
        <w:pStyle w:val="Para 15"/>
      </w:pPr>
      <w:r>
        <w:t xml:space="preserve">4 Machines no longer exist (or are invalid entries) </w:t>
      </w:r>
    </w:p>
    <w:p>
      <w:pPr>
        <w:pStyle w:val="Para 15"/>
      </w:pPr>
      <w:r>
        <w:t xml:space="preserve">92.5% Success Rate </w:t>
      </w:r>
    </w:p>
    <w:p>
      <w:pPr>
        <w:pStyle w:val="Para 25"/>
      </w:pPr>
      <w:r>
        <w:t/>
      </w:r>
    </w:p>
    <w:p>
      <w:pPr>
        <w:pStyle w:val="Para 07"/>
      </w:pPr>
      <w:r>
        <w:t xml:space="preserve">Baseline Updates </w:t>
      </w:r>
    </w:p>
    <w:p>
      <w:pPr>
        <w:pStyle w:val="Normal"/>
      </w:pPr>
      <w:r>
        <w:t xml:space="preserve">To maintain the benefits of a consistent baseline, as updates are introduced to your network, a critical task is to ensure that new and rebuilt systems are also up to date. You have a couple of </w:t>
      </w:r>
    </w:p>
    <w:p>
      <w:pPr>
        <w:pStyle w:val="Normal"/>
      </w:pPr>
      <w:r>
        <w:t xml:space="preserve">options available to help ensure this capability. </w:t>
      </w:r>
    </w:p>
    <w:p>
      <w:pPr>
        <w:pStyle w:val="Para 25"/>
      </w:pPr>
      <w:r>
        <w:t/>
      </w:r>
    </w:p>
    <w:p>
      <w:pPr>
        <w:pStyle w:val="Para 09"/>
      </w:pPr>
      <w:r>
        <w:t xml:space="preserve">Image Updates </w:t>
      </w:r>
    </w:p>
    <w:p>
      <w:pPr>
        <w:pStyle w:val="Para 25"/>
      </w:pPr>
      <w:r>
        <w:t/>
      </w:r>
    </w:p>
    <w:p>
      <w:pPr>
        <w:pStyle w:val="Normal"/>
      </w:pPr>
      <w:r>
        <w:t xml:space="preserve">Using your deployment packages to update your baseline image is one reliable method used for </w:t>
      </w:r>
    </w:p>
    <w:p>
      <w:pPr>
        <w:pStyle w:val="Normal"/>
      </w:pPr>
      <w:r>
        <w:t xml:space="preserve">ensuring consistency between those systems updated with packages and those with a new image </w:t>
      </w:r>
    </w:p>
    <w:p>
      <w:pPr>
        <w:pStyle w:val="Normal"/>
      </w:pPr>
      <w:r>
        <w:t xml:space="preserve">applied. Another common method is to make use of the installation documentation created while developing packages to help ensure that the images contain the same configuration and settings </w:t>
      </w:r>
    </w:p>
    <w:p>
      <w:pPr>
        <w:pStyle w:val="Normal"/>
      </w:pPr>
      <w:r>
        <w:t xml:space="preserve">as those systems receiving distribution packages. </w:t>
      </w:r>
    </w:p>
    <w:p>
      <w:pPr>
        <w:pStyle w:val="Para 25"/>
      </w:pPr>
      <w:r>
        <w:t/>
      </w:r>
    </w:p>
    <w:p>
      <w:pPr>
        <w:pStyle w:val="Para 09"/>
      </w:pPr>
      <w:r>
        <w:t xml:space="preserve">Unattended Installation Script Updates </w:t>
      </w:r>
    </w:p>
    <w:p>
      <w:pPr>
        <w:pStyle w:val="Para 25"/>
      </w:pPr>
      <w:r>
        <w:t/>
      </w:r>
    </w:p>
    <w:p>
      <w:pPr>
        <w:pStyle w:val="Normal"/>
      </w:pPr>
      <w:r>
        <w:t xml:space="preserve">If your installation process is script based, be sure to replace old installation scripts with those of your more recently deployed installation scripts. Because this task requires little effort compared </w:t>
      </w:r>
    </w:p>
    <w:p>
      <w:pPr>
        <w:pStyle w:val="Normal"/>
      </w:pPr>
      <w:r>
        <w:t xml:space="preserve">with that required to update an image, you might choose to implement the new installation </w:t>
      </w:r>
    </w:p>
    <w:p>
      <w:pPr>
        <w:pStyle w:val="Normal"/>
      </w:pPr>
      <w:r>
        <w:t xml:space="preserve">scripts at the time they are deployed. In this way, you will not have to be concerned with updating new machines via your software deployment system. </w:t>
      </w:r>
    </w:p>
    <w:p>
      <w:pPr>
        <w:pStyle w:val="Para 25"/>
      </w:pPr>
      <w:r>
        <w:t/>
      </w:r>
    </w:p>
    <w:p>
      <w:pPr>
        <w:pStyle w:val="Para 02"/>
      </w:pPr>
      <w:r>
        <w:t xml:space="preserve">INOSOFT Garibaldi is a tool to help manage images, installation source files, and scripts. It helps </w:t>
      </w:r>
    </w:p>
    <w:p>
      <w:pPr>
        <w:pStyle w:val="Para 02"/>
      </w:pPr>
      <w:r>
        <w:t xml:space="preserve">generate and track versions of installation scripts and facilitate adding your scripts to existing systems </w:t>
      </w:r>
    </w:p>
    <w:p>
      <w:pPr>
        <w:pStyle w:val="Para 02"/>
      </w:pPr>
      <w:r>
        <w:t xml:space="preserve">and to your baseline using an unattended installation process. For more information about Garibaldi, </w:t>
      </w:r>
    </w:p>
    <w:p>
      <w:pPr>
        <w:pStyle w:val="Para 02"/>
      </w:pPr>
      <w:r>
        <w:t xml:space="preserve">visit http://www.inosoft.de/garibaldi/Default.asp?Sp=en. </w:t>
      </w:r>
    </w:p>
    <w:p>
      <w:pPr>
        <w:pStyle w:val="Para 25"/>
      </w:pPr>
      <w:r>
        <w:t/>
      </w:r>
    </w:p>
    <w:p>
      <w:pPr>
        <w:pStyle w:val="Para 09"/>
      </w:pPr>
      <w:r>
        <w:t xml:space="preserve">Package Availability </w:t>
      </w:r>
    </w:p>
    <w:p>
      <w:pPr>
        <w:pStyle w:val="Para 25"/>
      </w:pPr>
      <w:r>
        <w:t/>
      </w:r>
    </w:p>
    <w:p>
      <w:pPr>
        <w:pStyle w:val="Normal"/>
      </w:pPr>
      <w:r>
        <w:t xml:space="preserve">Don’t keep your packages a secret. Particularly in large environments in which several offices </w:t>
      </w:r>
    </w:p>
    <w:p>
      <w:pPr>
        <w:pStyle w:val="Normal"/>
      </w:pPr>
      <w:r>
        <w:t xml:space="preserve">might have a requirement for applications with similar functionality, seeing that a package has already been generated and deployed may be a determining factor in the software they select. </w:t>
      </w:r>
    </w:p>
    <w:p>
      <w:pPr>
        <w:pStyle w:val="Normal"/>
      </w:pPr>
      <w:r>
        <w:t xml:space="preserve">Where there is a significant backlog of applications waiting to make their way through your </w:t>
      </w:r>
    </w:p>
    <w:p>
      <w:pPr>
        <w:pStyle w:val="Normal"/>
      </w:pPr>
      <w:r>
        <w:t xml:space="preserve">package and deployment process, helping the user to select an application you have already deployed will save the user time waiting for package development and will reduce the number of </w:t>
      </w:r>
    </w:p>
    <w:p>
      <w:pPr>
        <w:pStyle w:val="Normal"/>
      </w:pPr>
      <w:r>
        <w:t xml:space="preserve">applications you need to manage.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72" name="index-118_1.png" descr="index-118_1.png"/>
            <wp:cNvGraphicFramePr>
              <a:graphicFrameLocks noChangeAspect="1"/>
            </wp:cNvGraphicFramePr>
            <a:graphic>
              <a:graphicData uri="http://schemas.openxmlformats.org/drawingml/2006/picture">
                <pic:pic>
                  <pic:nvPicPr>
                    <pic:cNvPr id="0" name="index-118_1.png" descr="index-118_1.png"/>
                    <pic:cNvPicPr/>
                  </pic:nvPicPr>
                  <pic:blipFill>
                    <a:blip r:embed="rId27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73" name="index-118_2.png" descr="index-118_2.png"/>
            <wp:cNvGraphicFramePr>
              <a:graphicFrameLocks noChangeAspect="1"/>
            </wp:cNvGraphicFramePr>
            <a:graphic>
              <a:graphicData uri="http://schemas.openxmlformats.org/drawingml/2006/picture">
                <pic:pic>
                  <pic:nvPicPr>
                    <pic:cNvPr id="0" name="index-118_2.png" descr="index-118_2.png"/>
                    <pic:cNvPicPr/>
                  </pic:nvPicPr>
                  <pic:blipFill>
                    <a:blip r:embed="rId277"/>
                    <a:stretch>
                      <a:fillRect/>
                    </a:stretch>
                  </pic:blipFill>
                  <pic:spPr>
                    <a:xfrm>
                      <a:off x="0" y="0"/>
                      <a:ext cx="914400" cy="444500"/>
                    </a:xfrm>
                    <a:prstGeom prst="rect">
                      <a:avLst/>
                    </a:prstGeom>
                  </pic:spPr>
                </pic:pic>
              </a:graphicData>
            </a:graphic>
          </wp:anchor>
        </w:drawing>
      </w:r>
    </w:p>
    <w:p>
      <w:pPr>
        <w:pStyle w:val="0 Block"/>
      </w:pPr>
    </w:p>
    <w:p>
      <w:bookmarkStart w:id="124" w:name="Chapter_4_23"/>
      <w:pPr>
        <w:pStyle w:val="Heading 1"/>
        <w:pageBreakBefore w:val="on"/>
      </w:pPr>
      <w:r>
        <w:t>Chapter 4</w:t>
      </w:r>
      <w:bookmarkEnd w:id="124"/>
    </w:p>
    <w:p>
      <w:pPr>
        <w:pStyle w:val="Para 25"/>
      </w:pPr>
      <w:r>
        <w:t/>
      </w:r>
    </w:p>
    <w:p>
      <w:pPr>
        <w:pStyle w:val="Para 12"/>
      </w:pPr>
      <w:r>
        <w:t xml:space="preserve">Package Deployment System </w:t>
      </w:r>
    </w:p>
    <w:p>
      <w:pPr>
        <w:pStyle w:val="Para 25"/>
      </w:pPr>
      <w:r>
        <w:t/>
      </w:r>
    </w:p>
    <w:p>
      <w:pPr>
        <w:pStyle w:val="Normal"/>
      </w:pPr>
      <w:r>
        <w:t xml:space="preserve">With your package in hand, how do you intend to get it out there? Chances are, unless you are </w:t>
      </w:r>
    </w:p>
    <w:p>
      <w:pPr>
        <w:pStyle w:val="Normal"/>
      </w:pPr>
      <w:r>
        <w:t xml:space="preserve">establishing a new network or significantly increasing the size of a small network, you probably </w:t>
      </w:r>
    </w:p>
    <w:p>
      <w:pPr>
        <w:pStyle w:val="Normal"/>
      </w:pPr>
      <w:r>
        <w:t xml:space="preserve">have an existing deployment system. Even if you do, this section will still be of interest to help you get an idea of functionality that you might not have and will want to request of your </w:t>
      </w:r>
    </w:p>
    <w:p>
      <w:pPr>
        <w:pStyle w:val="Normal"/>
      </w:pPr>
      <w:r>
        <w:t xml:space="preserve">deployment system vendor. </w:t>
      </w:r>
    </w:p>
    <w:p>
      <w:pPr>
        <w:pStyle w:val="Para 25"/>
      </w:pPr>
      <w:r>
        <w:t/>
      </w:r>
    </w:p>
    <w:p>
      <w:pPr>
        <w:pStyle w:val="Normal"/>
      </w:pPr>
      <w:r>
        <w:t xml:space="preserve">It is beyond the scope of this book to provide sufficient detail about every deployment system </w:t>
      </w:r>
    </w:p>
    <w:p>
      <w:pPr>
        <w:pStyle w:val="Normal"/>
      </w:pPr>
      <w:r>
        <w:t xml:space="preserve">available. So rather than list just a few of the most popular deployment systems and only a brief summary of the functionality they provide, Table 4.2 provides a list of many of the solutions </w:t>
      </w:r>
    </w:p>
    <w:p>
      <w:pPr>
        <w:pStyle w:val="Normal"/>
      </w:pPr>
      <w:r>
        <w:t xml:space="preserve">available to help those who need one begin the search for the right tool. </w:t>
      </w:r>
    </w:p>
    <w:p>
      <w:pPr>
        <w:pStyle w:val="Para 25"/>
      </w:pPr>
      <w:r>
        <w:t/>
      </w:r>
    </w:p>
    <w:p>
      <w:pPr>
        <w:pStyle w:val="Normal"/>
      </w:pPr>
      <w:r>
        <w:t xml:space="preserve">What is the right tool? Every organization will have its own set of requirements. It is easy to get lost in the sea of features made available by these systems. Rather than focusing on any one </w:t>
      </w:r>
    </w:p>
    <w:p>
      <w:pPr>
        <w:pStyle w:val="Normal"/>
      </w:pPr>
      <w:r>
        <w:t xml:space="preserve">feature, try instead to create a list of features in which you are interested. You can then be more </w:t>
      </w:r>
    </w:p>
    <w:p>
      <w:pPr>
        <w:pStyle w:val="Normal"/>
      </w:pPr>
      <w:r>
        <w:t xml:space="preserve">methodical in your approach to finding the best tool for your organization. Besides, there is no sense in paying for features you do not need. </w:t>
      </w:r>
    </w:p>
    <w:p>
      <w:pPr>
        <w:pStyle w:val="Para 25"/>
      </w:pPr>
      <w:r>
        <w:t/>
      </w:r>
    </w:p>
    <w:p>
      <w:pPr>
        <w:pStyle w:val="Para 07"/>
      </w:pPr>
      <w:r>
        <w:t xml:space="preserve">Software Distribution Vendors </w:t>
      </w:r>
    </w:p>
    <w:p>
      <w:pPr>
        <w:pStyle w:val="Normal"/>
      </w:pPr>
      <w:r>
        <w:t xml:space="preserve">A large number of companies have taken a place in the market to provide a tool to address your </w:t>
      </w:r>
    </w:p>
    <w:p>
      <w:pPr>
        <w:pStyle w:val="Normal"/>
      </w:pPr>
      <w:r>
        <w:t xml:space="preserve">software deployment needs. Several companies means several different takes on the subject, with </w:t>
      </w:r>
    </w:p>
    <w:p>
      <w:pPr>
        <w:pStyle w:val="Normal"/>
      </w:pPr>
      <w:r>
        <w:t xml:space="preserve">each providing its own perspective—resulting in a unique interface and feature set to address a wide range of issues common to many organizations. Table 4.2 describes a few of your options. </w:t>
      </w:r>
    </w:p>
    <w:p>
      <w:pPr>
        <w:pStyle w:val="Para 25"/>
      </w:pPr>
      <w:r>
        <w:t/>
      </w:r>
    </w:p>
    <w:p>
      <w:pPr>
        <w:pStyle w:val="Para 03"/>
      </w:pPr>
      <w:r>
        <w:t xml:space="preserve">Company URL </w:t>
      </w:r>
      <w:r>
        <w:rPr>
          <w:rStyle w:val="Text2"/>
        </w:rPr>
        <w:t xml:space="preserve"> </w:t>
      </w:r>
      <w:r>
        <w:t xml:space="preserve">Description </w:t>
      </w:r>
    </w:p>
    <w:p>
      <w:pPr>
        <w:pStyle w:val="Para 03"/>
      </w:pPr>
      <w:r>
        <w:t xml:space="preserve">Altiris http://www.altiris.com Altiris provides several desktop administration </w:t>
      </w:r>
    </w:p>
    <w:p>
      <w:pPr>
        <w:pStyle w:val="Para 06"/>
      </w:pPr>
      <w:r>
        <w:t xml:space="preserve">tools in its Client Management Suite including </w:t>
      </w:r>
    </w:p>
    <w:p>
      <w:pPr>
        <w:pStyle w:val="Para 06"/>
      </w:pPr>
      <w:r>
        <w:t xml:space="preserve">Deployment Solution, Application Management </w:t>
      </w:r>
    </w:p>
    <w:p>
      <w:pPr>
        <w:pStyle w:val="Para 06"/>
      </w:pPr>
      <w:r>
        <w:t xml:space="preserve">Solution, and Software Delivery Solution. Its </w:t>
      </w:r>
    </w:p>
    <w:p>
      <w:pPr>
        <w:pStyle w:val="Para 06"/>
      </w:pPr>
      <w:r>
        <w:t xml:space="preserve">Web-based interface is modular in nature, </w:t>
      </w:r>
    </w:p>
    <w:p>
      <w:pPr>
        <w:pStyle w:val="Para 06"/>
      </w:pPr>
      <w:r>
        <w:t xml:space="preserve">providing several capabilities that can be added </w:t>
      </w:r>
    </w:p>
    <w:p>
      <w:pPr>
        <w:pStyle w:val="Para 06"/>
      </w:pPr>
      <w:r>
        <w:t xml:space="preserve">to satisfy a wide range of issues. Also part of the </w:t>
      </w:r>
    </w:p>
    <w:p>
      <w:pPr>
        <w:pStyle w:val="Para 06"/>
      </w:pPr>
      <w:r>
        <w:t xml:space="preserve">Client Management Suite: Inventory Solution, </w:t>
      </w:r>
    </w:p>
    <w:p>
      <w:pPr>
        <w:pStyle w:val="Para 06"/>
      </w:pPr>
      <w:r>
        <w:t xml:space="preserve">Application Metering Solution, and Carbon Copy </w:t>
      </w:r>
    </w:p>
    <w:p>
      <w:pPr>
        <w:pStyle w:val="Para 06"/>
      </w:pPr>
      <w:r>
        <w:t xml:space="preserve">Solution (remote control). </w:t>
      </w:r>
    </w:p>
    <w:p>
      <w:pPr>
        <w:pStyle w:val="Para 03"/>
      </w:pPr>
      <w:r>
        <w:t xml:space="preserve">ASDIS Software </w:t>
      </w:r>
      <w:r>
        <w:rPr>
          <w:rStyle w:val="Text2"/>
        </w:rPr>
        <w:t xml:space="preserve"> </w:t>
      </w:r>
      <w:r>
        <w:t xml:space="preserve">http://www.asdis.com </w:t>
      </w:r>
      <w:r>
        <w:rPr>
          <w:rStyle w:val="Text2"/>
        </w:rPr>
        <w:t xml:space="preserve"> </w:t>
      </w:r>
      <w:r>
        <w:t xml:space="preserve">ADSIS Software provides a solution of the same </w:t>
      </w:r>
    </w:p>
    <w:p>
      <w:pPr>
        <w:pStyle w:val="Para 06"/>
      </w:pPr>
      <w:r>
        <w:t xml:space="preserve">name, which serves to provide central </w:t>
      </w:r>
    </w:p>
    <w:p>
      <w:pPr>
        <w:pStyle w:val="Para 06"/>
      </w:pPr>
      <w:r>
        <w:t xml:space="preserve">management of application servers, automate </w:t>
      </w:r>
    </w:p>
    <w:p>
      <w:pPr>
        <w:pStyle w:val="Para 06"/>
      </w:pPr>
      <w:r>
        <w:t xml:space="preserve">installation of new systems, and manage </w:t>
      </w:r>
    </w:p>
    <w:p>
      <w:pPr>
        <w:pStyle w:val="Para 06"/>
      </w:pPr>
      <w:r>
        <w:t xml:space="preserve">changes to computers throughout a network. By </w:t>
      </w:r>
    </w:p>
    <w:p>
      <w:pPr>
        <w:pStyle w:val="Para 06"/>
      </w:pPr>
      <w:r>
        <w:t xml:space="preserve">their own metrics, ASDIS implemented more than </w:t>
      </w:r>
    </w:p>
    <w:p>
      <w:pPr>
        <w:pStyle w:val="Para 06"/>
      </w:pPr>
      <w:r>
        <w:t xml:space="preserve">15 million software changes on 36,000 systems </w:t>
      </w:r>
    </w:p>
    <w:p>
      <w:pPr>
        <w:pStyle w:val="Para 16"/>
      </w:pPr>
      <w:r>
        <w:t xml:space="preserve">in the year 2000. </w:t>
      </w:r>
    </w:p>
    <w:p>
      <w:pPr>
        <w:pStyle w:val="Para 03"/>
      </w:pPr>
      <w:r>
        <w:t xml:space="preserve">Baramundi </w:t>
      </w:r>
      <w:r>
        <w:rPr>
          <w:rStyle w:val="Text2"/>
        </w:rPr>
        <w:t xml:space="preserve"> </w:t>
      </w:r>
      <w:r>
        <w:t xml:space="preserve">http://www.baramundi.de </w:t>
      </w:r>
      <w:r>
        <w:rPr>
          <w:rStyle w:val="Text2"/>
        </w:rPr>
        <w:t xml:space="preserve"> </w:t>
      </w:r>
      <w:r>
        <w:t xml:space="preserve">Baramundi provides OS-Deploy, App-Deploy, </w:t>
        <w:t xml:space="preserve">Software </w:t>
      </w:r>
      <w:r>
        <w:rPr>
          <w:rStyle w:val="Text2"/>
        </w:rPr>
        <w:t xml:space="preserve"> </w:t>
      </w:r>
      <w:r>
        <w:t xml:space="preserve">and an enterprise management framework, as </w:t>
      </w:r>
    </w:p>
    <w:p>
      <w:pPr>
        <w:pStyle w:val="Para 06"/>
      </w:pPr>
      <w:r>
        <w:t xml:space="preserve">well as inventory and other add-ons. As the </w:t>
      </w:r>
    </w:p>
    <w:p>
      <w:pPr>
        <w:pStyle w:val="Para 06"/>
      </w:pPr>
      <w:r>
        <w:t xml:space="preserve">names imply, the system is capable of remotely </w:t>
      </w:r>
    </w:p>
    <w:p>
      <w:pPr>
        <w:pStyle w:val="Para 06"/>
      </w:pPr>
      <w:r>
        <w:t xml:space="preserve">deploying unattended installation scripts for </w:t>
      </w:r>
    </w:p>
    <w:p>
      <w:pPr>
        <w:pStyle w:val="Para 06"/>
      </w:pPr>
      <w:r>
        <w:t xml:space="preserve">Windows OSs as well as automated software </w:t>
      </w:r>
    </w:p>
    <w:p>
      <w:pPr>
        <w:pStyle w:val="Para 16"/>
      </w:pPr>
      <w:r>
        <w:t xml:space="preserve">deployments.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74" name="index-119_1.png" descr="index-119_1.png"/>
            <wp:cNvGraphicFramePr>
              <a:graphicFrameLocks noChangeAspect="1"/>
            </wp:cNvGraphicFramePr>
            <a:graphic>
              <a:graphicData uri="http://schemas.openxmlformats.org/drawingml/2006/picture">
                <pic:pic>
                  <pic:nvPicPr>
                    <pic:cNvPr id="0" name="index-119_1.png" descr="index-119_1.png"/>
                    <pic:cNvPicPr/>
                  </pic:nvPicPr>
                  <pic:blipFill>
                    <a:blip r:embed="rId27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75" name="index-119_2.png" descr="index-119_2.png"/>
            <wp:cNvGraphicFramePr>
              <a:graphicFrameLocks noChangeAspect="1"/>
            </wp:cNvGraphicFramePr>
            <a:graphic>
              <a:graphicData uri="http://schemas.openxmlformats.org/drawingml/2006/picture">
                <pic:pic>
                  <pic:nvPicPr>
                    <pic:cNvPr id="0" name="index-119_2.png" descr="index-119_2.png"/>
                    <pic:cNvPicPr/>
                  </pic:nvPicPr>
                  <pic:blipFill>
                    <a:blip r:embed="rId279"/>
                    <a:stretch>
                      <a:fillRect/>
                    </a:stretch>
                  </pic:blipFill>
                  <pic:spPr>
                    <a:xfrm>
                      <a:off x="0" y="0"/>
                      <a:ext cx="914400" cy="444500"/>
                    </a:xfrm>
                    <a:prstGeom prst="rect">
                      <a:avLst/>
                    </a:prstGeom>
                  </pic:spPr>
                </pic:pic>
              </a:graphicData>
            </a:graphic>
          </wp:anchor>
        </w:drawing>
      </w:r>
    </w:p>
    <w:p>
      <w:pPr>
        <w:pStyle w:val="0 Block"/>
      </w:pPr>
    </w:p>
    <w:p>
      <w:bookmarkStart w:id="125" w:name="Chapter_4_24"/>
      <w:pPr>
        <w:pStyle w:val="Heading 1"/>
        <w:pageBreakBefore w:val="on"/>
      </w:pPr>
      <w:r>
        <w:t>Chapter 4</w:t>
      </w:r>
      <w:bookmarkEnd w:id="125"/>
    </w:p>
    <w:p>
      <w:pPr>
        <w:pStyle w:val="Para 25"/>
      </w:pPr>
      <w:r>
        <w:t/>
      </w:r>
    </w:p>
    <w:p>
      <w:pPr>
        <w:pStyle w:val="Para 03"/>
      </w:pPr>
      <w:r>
        <w:t xml:space="preserve">Boss http://www.boss-uwin.com </w:t>
        <w:t xml:space="preserve">Boss offers U-Win, a complete system for </w:t>
      </w:r>
    </w:p>
    <w:p>
      <w:pPr>
        <w:pStyle w:val="Para 06"/>
      </w:pPr>
      <w:r>
        <w:t xml:space="preserve">workstation inventory, Windows OS migration, </w:t>
      </w:r>
    </w:p>
    <w:p>
      <w:pPr>
        <w:pStyle w:val="Para 06"/>
      </w:pPr>
      <w:r>
        <w:t xml:space="preserve">application deployment, and the migration of user </w:t>
      </w:r>
    </w:p>
    <w:p>
      <w:pPr>
        <w:pStyle w:val="Para 16"/>
      </w:pPr>
      <w:r>
        <w:t xml:space="preserve">data and settings. </w:t>
      </w:r>
    </w:p>
    <w:p>
      <w:pPr>
        <w:pStyle w:val="Para 03"/>
      </w:pPr>
      <w:r>
        <w:t xml:space="preserve">Broccoli </w:t>
      </w:r>
      <w:r>
        <w:rPr>
          <w:rStyle w:val="Text2"/>
        </w:rPr>
        <w:t xml:space="preserve"> </w:t>
      </w:r>
      <w:r>
        <w:t xml:space="preserve">http://www.broccolisoftware.com </w:t>
      </w:r>
      <w:r>
        <w:rPr>
          <w:rStyle w:val="Text2"/>
        </w:rPr>
        <w:t xml:space="preserve"> </w:t>
      </w:r>
      <w:r>
        <w:t xml:space="preserve">ADS is a management tool for deployment of </w:t>
        <w:t xml:space="preserve">Software </w:t>
      </w:r>
      <w:r>
        <w:rPr>
          <w:rStyle w:val="Text2"/>
        </w:rPr>
        <w:t xml:space="preserve"> </w:t>
      </w:r>
      <w:r>
        <w:t xml:space="preserve">Windows software applications. ADS restricts the </w:t>
      </w:r>
    </w:p>
    <w:p>
      <w:pPr>
        <w:pStyle w:val="Para 06"/>
      </w:pPr>
      <w:r>
        <w:t xml:space="preserve">availability of software based on user groups as </w:t>
      </w:r>
    </w:p>
    <w:p>
      <w:pPr>
        <w:pStyle w:val="Para 06"/>
      </w:pPr>
      <w:r>
        <w:t xml:space="preserve">well as informs users of new and updated </w:t>
      </w:r>
    </w:p>
    <w:p>
      <w:pPr>
        <w:pStyle w:val="Para 06"/>
      </w:pPr>
      <w:r>
        <w:t xml:space="preserve">applications and patches as they become </w:t>
      </w:r>
    </w:p>
    <w:p>
      <w:pPr>
        <w:pStyle w:val="Para 06"/>
      </w:pPr>
      <w:r>
        <w:t xml:space="preserve">available. In addition to deploying software, you </w:t>
      </w:r>
    </w:p>
    <w:p>
      <w:pPr>
        <w:pStyle w:val="Para 06"/>
      </w:pPr>
      <w:r>
        <w:t xml:space="preserve">can also use it to deploy security updates, </w:t>
      </w:r>
    </w:p>
    <w:p>
      <w:pPr>
        <w:pStyle w:val="Para 06"/>
      </w:pPr>
      <w:r>
        <w:t xml:space="preserve">service packs, and drivers. </w:t>
      </w:r>
    </w:p>
    <w:p>
      <w:pPr>
        <w:pStyle w:val="Para 03"/>
      </w:pPr>
      <w:r>
        <w:t xml:space="preserve">CenterRun http://www.centerrun.com CenterRun executes all application changes from </w:t>
      </w:r>
    </w:p>
    <w:p>
      <w:pPr>
        <w:pStyle w:val="Para 06"/>
      </w:pPr>
      <w:r>
        <w:t xml:space="preserve">a central console, simulating changes prior to </w:t>
      </w:r>
    </w:p>
    <w:p>
      <w:pPr>
        <w:pStyle w:val="Para 06"/>
      </w:pPr>
      <w:r>
        <w:t xml:space="preserve">making them, and maintaining a complete audit </w:t>
      </w:r>
    </w:p>
    <w:p>
      <w:pPr>
        <w:pStyle w:val="Para 06"/>
      </w:pPr>
      <w:r>
        <w:t xml:space="preserve">history. CenterRun tells you who installs what </w:t>
      </w:r>
    </w:p>
    <w:p>
      <w:pPr>
        <w:pStyle w:val="Para 06"/>
      </w:pPr>
      <w:r>
        <w:t xml:space="preserve">where. It also compares the actual state of an </w:t>
      </w:r>
    </w:p>
    <w:p>
      <w:pPr>
        <w:pStyle w:val="Para 06"/>
      </w:pPr>
      <w:r>
        <w:t xml:space="preserve">application with what it should be as recorded in </w:t>
      </w:r>
    </w:p>
    <w:p>
      <w:pPr>
        <w:pStyle w:val="Para 06"/>
      </w:pPr>
      <w:r>
        <w:t>a central repository. This feature captures out-of-</w:t>
      </w:r>
    </w:p>
    <w:p>
      <w:pPr>
        <w:pStyle w:val="Para 06"/>
      </w:pPr>
      <w:r>
        <w:t xml:space="preserve">band changes to the application environment. </w:t>
      </w:r>
    </w:p>
    <w:p>
      <w:pPr>
        <w:pStyle w:val="Para 03"/>
      </w:pPr>
      <w:r>
        <w:t xml:space="preserve">Cognet http://www.cognet.com PowerQuest recently purchased Cognet and its </w:t>
      </w:r>
    </w:p>
    <w:p>
      <w:pPr>
        <w:pStyle w:val="Para 06"/>
      </w:pPr>
      <w:r>
        <w:t xml:space="preserve">Cognet Manager product. Cognet Manager </w:t>
      </w:r>
    </w:p>
    <w:p>
      <w:pPr>
        <w:pStyle w:val="Para 06"/>
      </w:pPr>
      <w:r>
        <w:t xml:space="preserve">provides a software deployment and </w:t>
      </w:r>
    </w:p>
    <w:p>
      <w:pPr>
        <w:pStyle w:val="Para 06"/>
      </w:pPr>
      <w:r>
        <w:t xml:space="preserve">configuration solution designed for ease of use. It </w:t>
      </w:r>
    </w:p>
    <w:p>
      <w:pPr>
        <w:pStyle w:val="Para 06"/>
      </w:pPr>
      <w:r>
        <w:t xml:space="preserve">provides “Plain English Policies” that can affect </w:t>
      </w:r>
    </w:p>
    <w:p>
      <w:pPr>
        <w:pStyle w:val="Para 06"/>
      </w:pPr>
      <w:r>
        <w:t xml:space="preserve">application configuration to provide each user </w:t>
      </w:r>
    </w:p>
    <w:p>
      <w:pPr>
        <w:pStyle w:val="Para 06"/>
      </w:pPr>
      <w:r>
        <w:t xml:space="preserve">with a tailored installation. </w:t>
      </w:r>
    </w:p>
    <w:p>
      <w:pPr>
        <w:pStyle w:val="Para 03"/>
      </w:pPr>
      <w:r>
        <w:t xml:space="preserve">Computer </w:t>
      </w:r>
      <w:r>
        <w:rPr>
          <w:rStyle w:val="Text2"/>
        </w:rPr>
        <w:t xml:space="preserve"> </w:t>
      </w:r>
      <w:r>
        <w:t xml:space="preserve">http://www.ca.com </w:t>
      </w:r>
      <w:r>
        <w:rPr>
          <w:rStyle w:val="Text2"/>
        </w:rPr>
        <w:t xml:space="preserve"> </w:t>
      </w:r>
      <w:r>
        <w:t xml:space="preserve">Computer Associates’ Unicenter Software </w:t>
        <w:t xml:space="preserve">Associates </w:t>
      </w:r>
      <w:r>
        <w:rPr>
          <w:rStyle w:val="Text2"/>
        </w:rPr>
        <w:t xml:space="preserve"> </w:t>
      </w:r>
      <w:r>
        <w:t xml:space="preserve">Delivery product provides automated software </w:t>
      </w:r>
    </w:p>
    <w:p>
      <w:pPr>
        <w:pStyle w:val="Para 06"/>
      </w:pPr>
      <w:r>
        <w:t xml:space="preserve">delivery throughout heterogeneous environments </w:t>
      </w:r>
    </w:p>
    <w:p>
      <w:pPr>
        <w:pStyle w:val="Para 06"/>
      </w:pPr>
      <w:r>
        <w:t xml:space="preserve">with rollback and version control capabilities. It is </w:t>
      </w:r>
    </w:p>
    <w:p>
      <w:pPr>
        <w:pStyle w:val="Para 06"/>
      </w:pPr>
      <w:r>
        <w:t xml:space="preserve">also designed to support remote users, PDAs, </w:t>
      </w:r>
    </w:p>
    <w:p>
      <w:pPr>
        <w:pStyle w:val="Para 16"/>
      </w:pPr>
      <w:r>
        <w:t xml:space="preserve">and mobile devices. </w:t>
      </w:r>
    </w:p>
    <w:p>
      <w:pPr>
        <w:pStyle w:val="Para 03"/>
      </w:pPr>
      <w:r>
        <w:t xml:space="preserve">Contrado http://www.contrado.com Contrado offers SystemBuilder, a solution for the </w:t>
      </w:r>
    </w:p>
    <w:p>
      <w:pPr>
        <w:pStyle w:val="Para 06"/>
      </w:pPr>
      <w:r>
        <w:t xml:space="preserve">creation, deployment, or migration of Windows </w:t>
      </w:r>
    </w:p>
    <w:p>
      <w:pPr>
        <w:pStyle w:val="Para 06"/>
      </w:pPr>
      <w:r>
        <w:t xml:space="preserve">systems. It aims to provide a single-step virtual </w:t>
      </w:r>
    </w:p>
    <w:p>
      <w:pPr>
        <w:pStyle w:val="Para 06"/>
      </w:pPr>
      <w:r>
        <w:t xml:space="preserve">process, eliminating the need for remote staging, </w:t>
      </w:r>
    </w:p>
    <w:p>
      <w:pPr>
        <w:pStyle w:val="Para 06"/>
      </w:pPr>
      <w:r>
        <w:t xml:space="preserve">hands on touches, and multiple deployment tools. </w:t>
      </w:r>
    </w:p>
    <w:p>
      <w:pPr>
        <w:pStyle w:val="Para 03"/>
      </w:pPr>
      <w:r>
        <w:t xml:space="preserve">Executive </w:t>
      </w:r>
      <w:r>
        <w:rPr>
          <w:rStyle w:val="Text2"/>
        </w:rPr>
        <w:t xml:space="preserve"> </w:t>
      </w:r>
      <w:r>
        <w:t xml:space="preserve">http://www.execsoft.com </w:t>
      </w:r>
      <w:r>
        <w:rPr>
          <w:rStyle w:val="Text2"/>
        </w:rPr>
        <w:t xml:space="preserve"> </w:t>
      </w:r>
      <w:r>
        <w:t xml:space="preserve">Executive Software provides Sitekeeper as its </w:t>
        <w:t xml:space="preserve">Software </w:t>
      </w:r>
      <w:r>
        <w:rPr>
          <w:rStyle w:val="Text2"/>
        </w:rPr>
        <w:t xml:space="preserve"> </w:t>
      </w:r>
      <w:r>
        <w:t xml:space="preserve">tool to handle software installation, license </w:t>
      </w:r>
    </w:p>
    <w:p>
      <w:pPr>
        <w:pStyle w:val="Para 06"/>
      </w:pPr>
      <w:r>
        <w:t xml:space="preserve">tracking, and software and hardware inventory. </w:t>
      </w:r>
    </w:p>
    <w:p>
      <w:pPr>
        <w:pStyle w:val="Para 06"/>
      </w:pPr>
      <w:r>
        <w:t xml:space="preserve">Supporting all releases of Windows since </w:t>
      </w:r>
    </w:p>
    <w:p>
      <w:pPr>
        <w:pStyle w:val="Para 06"/>
      </w:pPr>
      <w:r>
        <w:t xml:space="preserve">Windows 95b, Sitekeeper is focused on making </w:t>
      </w:r>
    </w:p>
    <w:p>
      <w:pPr>
        <w:pStyle w:val="Para 06"/>
      </w:pPr>
      <w:r>
        <w:t xml:space="preserve">system management simple, with a very small </w:t>
      </w:r>
    </w:p>
    <w:p>
      <w:pPr>
        <w:pStyle w:val="Para 06"/>
      </w:pPr>
      <w:r>
        <w:t xml:space="preserve">learning curve and no training required. </w:t>
      </w:r>
    </w:p>
    <w:p>
      <w:pPr>
        <w:pStyle w:val="Para 03"/>
      </w:pPr>
      <w:r>
        <w:t>Hewlett-Packard http://h18013.www1.hp.com/prod</w:t>
      </w:r>
      <w:r>
        <w:rPr>
          <w:rStyle w:val="Text2"/>
        </w:rPr>
        <w:t xml:space="preserve"> </w:t>
      </w:r>
      <w:r>
        <w:t xml:space="preserve">Geared toward server management, the Remote </w:t>
      </w:r>
    </w:p>
    <w:p>
      <w:pPr>
        <w:pStyle w:val="Para 06"/>
      </w:pPr>
      <w:r>
        <w:t>ucts/servers/management/rdu/des</w:t>
      </w:r>
      <w:r>
        <w:rPr>
          <w:rStyle w:val="Text2"/>
        </w:rPr>
        <w:t xml:space="preserve"> </w:t>
      </w:r>
      <w:r>
        <w:t xml:space="preserve">Deployment Utility (RDU) is an application that </w:t>
      </w:r>
    </w:p>
    <w:p>
      <w:pPr>
        <w:pStyle w:val="Para 06"/>
      </w:pPr>
      <w:r>
        <w:t xml:space="preserve">cription.html </w:t>
      </w:r>
      <w:r>
        <w:rPr>
          <w:rStyle w:val="Text2"/>
        </w:rPr>
        <w:t xml:space="preserve"> </w:t>
      </w:r>
      <w:r>
        <w:t xml:space="preserve">remotely deploys driver and management agent </w:t>
      </w:r>
    </w:p>
    <w:p>
      <w:pPr>
        <w:pStyle w:val="Para 06"/>
      </w:pPr>
      <w:r>
        <w:t xml:space="preserve">updates to network attached servers. You can </w:t>
      </w:r>
    </w:p>
    <w:p>
      <w:pPr>
        <w:pStyle w:val="Para 06"/>
      </w:pPr>
      <w:r>
        <w:t xml:space="preserve">operate RDU from an IT administrator’s </w:t>
      </w:r>
    </w:p>
    <w:p>
      <w:pPr>
        <w:pStyle w:val="Para 06"/>
      </w:pPr>
      <w:r>
        <w:t xml:space="preserve">workstation, where remote servers are selected </w:t>
      </w:r>
    </w:p>
    <w:p>
      <w:pPr>
        <w:pStyle w:val="Para 16"/>
      </w:pPr>
      <w:r>
        <w:t xml:space="preserve">for software updates.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76" name="index-120_1.png" descr="index-120_1.png"/>
            <wp:cNvGraphicFramePr>
              <a:graphicFrameLocks noChangeAspect="1"/>
            </wp:cNvGraphicFramePr>
            <a:graphic>
              <a:graphicData uri="http://schemas.openxmlformats.org/drawingml/2006/picture">
                <pic:pic>
                  <pic:nvPicPr>
                    <pic:cNvPr id="0" name="index-120_1.png" descr="index-120_1.png"/>
                    <pic:cNvPicPr/>
                  </pic:nvPicPr>
                  <pic:blipFill>
                    <a:blip r:embed="rId28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77" name="index-120_2.png" descr="index-120_2.png"/>
            <wp:cNvGraphicFramePr>
              <a:graphicFrameLocks noChangeAspect="1"/>
            </wp:cNvGraphicFramePr>
            <a:graphic>
              <a:graphicData uri="http://schemas.openxmlformats.org/drawingml/2006/picture">
                <pic:pic>
                  <pic:nvPicPr>
                    <pic:cNvPr id="0" name="index-120_2.png" descr="index-120_2.png"/>
                    <pic:cNvPicPr/>
                  </pic:nvPicPr>
                  <pic:blipFill>
                    <a:blip r:embed="rId281"/>
                    <a:stretch>
                      <a:fillRect/>
                    </a:stretch>
                  </pic:blipFill>
                  <pic:spPr>
                    <a:xfrm>
                      <a:off x="0" y="0"/>
                      <a:ext cx="914400" cy="444500"/>
                    </a:xfrm>
                    <a:prstGeom prst="rect">
                      <a:avLst/>
                    </a:prstGeom>
                  </pic:spPr>
                </pic:pic>
              </a:graphicData>
            </a:graphic>
          </wp:anchor>
        </w:drawing>
      </w:r>
    </w:p>
    <w:p>
      <w:pPr>
        <w:pStyle w:val="0 Block"/>
      </w:pPr>
    </w:p>
    <w:p>
      <w:bookmarkStart w:id="126" w:name="Chapter_4_25"/>
      <w:pPr>
        <w:pStyle w:val="Heading 1"/>
        <w:pageBreakBefore w:val="on"/>
      </w:pPr>
      <w:r>
        <w:t>Chapter 4</w:t>
      </w:r>
      <w:bookmarkEnd w:id="126"/>
    </w:p>
    <w:p>
      <w:pPr>
        <w:pStyle w:val="Para 25"/>
      </w:pPr>
      <w:r>
        <w:t/>
      </w:r>
    </w:p>
    <w:p>
      <w:pPr>
        <w:pStyle w:val="Para 03"/>
      </w:pPr>
      <w:r>
        <w:t xml:space="preserve">IBM http://www.unitysite.com </w:t>
        <w:t xml:space="preserve">IBM’s Unity provides a deployment solution for </w:t>
      </w:r>
    </w:p>
    <w:p>
      <w:pPr>
        <w:pStyle w:val="Para 06"/>
      </w:pPr>
      <w:r>
        <w:t xml:space="preserve">Win2K and Windows XP systems. It can roll out </w:t>
      </w:r>
    </w:p>
    <w:p>
      <w:pPr>
        <w:pStyle w:val="Para 06"/>
      </w:pPr>
      <w:r>
        <w:t xml:space="preserve">new OS deployments and allows for the creation </w:t>
      </w:r>
    </w:p>
    <w:p>
      <w:pPr>
        <w:pStyle w:val="Para 06"/>
      </w:pPr>
      <w:r>
        <w:t xml:space="preserve">of MSI deployment packages. It features a </w:t>
      </w:r>
    </w:p>
    <w:p>
      <w:pPr>
        <w:pStyle w:val="Para 06"/>
      </w:pPr>
      <w:r>
        <w:t xml:space="preserve">replication capability that allows for hierarchical </w:t>
      </w:r>
    </w:p>
    <w:p>
      <w:pPr>
        <w:pStyle w:val="Para 06"/>
      </w:pPr>
      <w:r>
        <w:t xml:space="preserve">distribution of software packages over a WAN </w:t>
      </w:r>
    </w:p>
    <w:p>
      <w:pPr>
        <w:pStyle w:val="Para 06"/>
      </w:pPr>
      <w:r>
        <w:t xml:space="preserve">and will automatically discover the fastest link to </w:t>
      </w:r>
    </w:p>
    <w:p>
      <w:pPr>
        <w:pStyle w:val="Para 16"/>
      </w:pPr>
      <w:r>
        <w:t xml:space="preserve">the package servers. </w:t>
      </w:r>
    </w:p>
    <w:p>
      <w:pPr>
        <w:pStyle w:val="Para 03"/>
      </w:pPr>
      <w:r>
        <w:t xml:space="preserve">InfraDirect http://www.infradirect.com InfraDirect provides its solution, Xpursuit, to </w:t>
      </w:r>
    </w:p>
    <w:p>
      <w:pPr>
        <w:pStyle w:val="Para 06"/>
      </w:pPr>
      <w:r>
        <w:t xml:space="preserve">provide application installation and licensing from </w:t>
      </w:r>
    </w:p>
    <w:p>
      <w:pPr>
        <w:pStyle w:val="Para 06"/>
      </w:pPr>
      <w:r>
        <w:t xml:space="preserve">a single central management console. It features </w:t>
      </w:r>
    </w:p>
    <w:p>
      <w:pPr>
        <w:pStyle w:val="Para 06"/>
      </w:pPr>
      <w:r>
        <w:t xml:space="preserve">application conflict prevention and a lab </w:t>
      </w:r>
    </w:p>
    <w:p>
      <w:pPr>
        <w:pStyle w:val="Para 06"/>
      </w:pPr>
      <w:r>
        <w:t xml:space="preserve">environment in which applications may be </w:t>
      </w:r>
    </w:p>
    <w:p>
      <w:pPr>
        <w:pStyle w:val="Para 06"/>
      </w:pPr>
      <w:r>
        <w:t xml:space="preserve">analyzed before distribution. Client/server </w:t>
      </w:r>
    </w:p>
    <w:p>
      <w:pPr>
        <w:pStyle w:val="Para 06"/>
      </w:pPr>
      <w:r>
        <w:t xml:space="preserve">communications are MD5 encrypted and </w:t>
      </w:r>
    </w:p>
    <w:p>
      <w:pPr>
        <w:pStyle w:val="Para 06"/>
      </w:pPr>
      <w:r>
        <w:t xml:space="preserve">authenticated through LDAP standard directory </w:t>
      </w:r>
    </w:p>
    <w:p>
      <w:pPr>
        <w:pStyle w:val="Para 06"/>
      </w:pPr>
      <w:r>
        <w:t xml:space="preserve">structures for increased security. </w:t>
      </w:r>
    </w:p>
    <w:p>
      <w:pPr>
        <w:pStyle w:val="Para 03"/>
      </w:pPr>
      <w:r>
        <w:t xml:space="preserve">Insystek http://www.insystek.com Insystek provides a couple of products for </w:t>
      </w:r>
    </w:p>
    <w:p>
      <w:pPr>
        <w:pStyle w:val="Para 06"/>
      </w:pPr>
      <w:r>
        <w:t xml:space="preserve">desktop administration including NSCM Control </w:t>
      </w:r>
    </w:p>
    <w:p>
      <w:pPr>
        <w:pStyle w:val="Para 06"/>
      </w:pPr>
      <w:r>
        <w:t xml:space="preserve">Center. This tool lets you inventory, manage </w:t>
      </w:r>
    </w:p>
    <w:p>
      <w:pPr>
        <w:pStyle w:val="Para 06"/>
      </w:pPr>
      <w:r>
        <w:t xml:space="preserve">services, install, upgrade, or remove applications </w:t>
      </w:r>
    </w:p>
    <w:p>
      <w:pPr>
        <w:pStyle w:val="Para 06"/>
      </w:pPr>
      <w:r>
        <w:t xml:space="preserve">all from a single console interface. Insystek also </w:t>
      </w:r>
    </w:p>
    <w:p>
      <w:pPr>
        <w:pStyle w:val="Para 06"/>
      </w:pPr>
      <w:r>
        <w:t xml:space="preserve">provides a similar product (built on the same </w:t>
      </w:r>
    </w:p>
    <w:p>
      <w:pPr>
        <w:pStyle w:val="Para 06"/>
      </w:pPr>
      <w:r>
        <w:t xml:space="preserve">technology) named SoftDist LE, which is </w:t>
      </w:r>
    </w:p>
    <w:p>
      <w:pPr>
        <w:pStyle w:val="Para 06"/>
      </w:pPr>
      <w:r>
        <w:t xml:space="preserve">designed for small to midsized Windows </w:t>
      </w:r>
    </w:p>
    <w:p>
      <w:pPr>
        <w:pStyle w:val="Para 16"/>
      </w:pPr>
      <w:r>
        <w:t xml:space="preserve">environments. </w:t>
      </w:r>
    </w:p>
    <w:p>
      <w:pPr>
        <w:pStyle w:val="Para 03"/>
      </w:pPr>
      <w:r>
        <w:t xml:space="preserve">LAN Supervision http://www.lsvi.com </w:t>
      </w:r>
      <w:r>
        <w:rPr>
          <w:rStyle w:val="Text2"/>
        </w:rPr>
        <w:t xml:space="preserve"> </w:t>
      </w:r>
      <w:r>
        <w:t xml:space="preserve">LAN Supervision (LSVi) provides Change </w:t>
      </w:r>
    </w:p>
    <w:p>
      <w:pPr>
        <w:pStyle w:val="Para 06"/>
      </w:pPr>
      <w:r>
        <w:t xml:space="preserve">Management Facility (CMF), which offers </w:t>
      </w:r>
    </w:p>
    <w:p>
      <w:pPr>
        <w:pStyle w:val="Para 06"/>
      </w:pPr>
      <w:r>
        <w:t xml:space="preserve">software and configuration management </w:t>
      </w:r>
    </w:p>
    <w:p>
      <w:pPr>
        <w:pStyle w:val="Para 06"/>
      </w:pPr>
      <w:r>
        <w:t xml:space="preserve">features. It features self-repair, task scheduling, </w:t>
      </w:r>
    </w:p>
    <w:p>
      <w:pPr>
        <w:pStyle w:val="Para 06"/>
      </w:pPr>
      <w:r>
        <w:t xml:space="preserve">version control, and built-in rollback and </w:t>
      </w:r>
    </w:p>
    <w:p>
      <w:pPr>
        <w:pStyle w:val="Para 06"/>
      </w:pPr>
      <w:r>
        <w:t xml:space="preserve">workstation configuration capabilities. It requires </w:t>
      </w:r>
    </w:p>
    <w:p>
      <w:pPr>
        <w:pStyle w:val="Para 06"/>
      </w:pPr>
      <w:r>
        <w:t xml:space="preserve">no scripting and boasts scalability up to 40,000 </w:t>
      </w:r>
    </w:p>
    <w:p>
      <w:pPr>
        <w:pStyle w:val="Para 06"/>
      </w:pPr>
      <w:r>
        <w:t xml:space="preserve">clients. LSVi also offers OnDemand Software, a </w:t>
      </w:r>
    </w:p>
    <w:p>
      <w:pPr>
        <w:pStyle w:val="Para 06"/>
      </w:pPr>
      <w:r>
        <w:t xml:space="preserve">self-service deployment solution. </w:t>
      </w:r>
    </w:p>
    <w:p>
      <w:pPr>
        <w:pStyle w:val="Para 03"/>
      </w:pPr>
      <w:r>
        <w:t xml:space="preserve">LANDesk </w:t>
      </w:r>
      <w:r>
        <w:rPr>
          <w:rStyle w:val="Text2"/>
        </w:rPr>
        <w:t xml:space="preserve"> </w:t>
      </w:r>
      <w:r>
        <w:t xml:space="preserve">http://www.landesksoftware.com </w:t>
      </w:r>
      <w:r>
        <w:rPr>
          <w:rStyle w:val="Text2"/>
        </w:rPr>
        <w:t xml:space="preserve"> </w:t>
      </w:r>
      <w:r>
        <w:t xml:space="preserve">LANDesk software offers its LANDesk </w:t>
        <w:t xml:space="preserve">Software </w:t>
      </w:r>
      <w:r>
        <w:rPr>
          <w:rStyle w:val="Text2"/>
        </w:rPr>
        <w:t xml:space="preserve"> </w:t>
      </w:r>
      <w:r>
        <w:t xml:space="preserve">Management Suite with OS deployment. It allows </w:t>
      </w:r>
    </w:p>
    <w:p>
      <w:pPr>
        <w:pStyle w:val="Para 06"/>
      </w:pPr>
      <w:r>
        <w:t xml:space="preserve">you to build and deploy images with its OS </w:t>
      </w:r>
    </w:p>
    <w:p>
      <w:pPr>
        <w:pStyle w:val="Para 06"/>
      </w:pPr>
      <w:r>
        <w:t xml:space="preserve">Deployment Wizard and is compatible with </w:t>
      </w:r>
    </w:p>
    <w:p>
      <w:pPr>
        <w:pStyle w:val="Para 06"/>
      </w:pPr>
      <w:r>
        <w:t xml:space="preserve">leading third-party imaging solutions as well. It </w:t>
      </w:r>
    </w:p>
    <w:p>
      <w:pPr>
        <w:pStyle w:val="Para 06"/>
      </w:pPr>
      <w:r>
        <w:t xml:space="preserve">also allows for targeted multicasting of software </w:t>
      </w:r>
    </w:p>
    <w:p>
      <w:pPr>
        <w:pStyle w:val="Para 06"/>
      </w:pPr>
      <w:r>
        <w:t xml:space="preserve">packages with scheduling capabilities. LANDesk </w:t>
      </w:r>
    </w:p>
    <w:p>
      <w:pPr>
        <w:pStyle w:val="Para 06"/>
      </w:pPr>
      <w:r>
        <w:t xml:space="preserve">also feature a Pre-execution Environment (PXE) </w:t>
      </w:r>
    </w:p>
    <w:p>
      <w:pPr>
        <w:pStyle w:val="Para 06"/>
      </w:pPr>
      <w:r>
        <w:t xml:space="preserve">server solution that does not require a PXE </w:t>
      </w:r>
    </w:p>
    <w:p>
      <w:pPr>
        <w:pStyle w:val="Para 16"/>
      </w:pPr>
      <w:r>
        <w:t xml:space="preserve">server for each subnet. </w:t>
      </w:r>
    </w:p>
    <w:p>
      <w:pPr>
        <w:pStyle w:val="Para 03"/>
      </w:pPr>
      <w:r>
        <w:t xml:space="preserve">ManageSoft http://www.managesoft.com ManageSoft provides a software management </w:t>
      </w:r>
    </w:p>
    <w:p>
      <w:pPr>
        <w:pStyle w:val="Para 06"/>
      </w:pPr>
      <w:r>
        <w:t xml:space="preserve">solution for desktops, servers, and mobile </w:t>
      </w:r>
    </w:p>
    <w:p>
      <w:pPr>
        <w:pStyle w:val="Para 06"/>
      </w:pPr>
      <w:r>
        <w:t xml:space="preserve">devices. It features software deployment, asset </w:t>
      </w:r>
    </w:p>
    <w:p>
      <w:pPr>
        <w:pStyle w:val="Para 06"/>
      </w:pPr>
      <w:r>
        <w:t xml:space="preserve">tracking, license management, Windows </w:t>
      </w:r>
    </w:p>
    <w:p>
      <w:pPr>
        <w:pStyle w:val="Para 06"/>
      </w:pPr>
      <w:r>
        <w:t xml:space="preserve">migration, and mobile/remote management </w:t>
      </w:r>
    </w:p>
    <w:p>
      <w:pPr>
        <w:pStyle w:val="Para 16"/>
      </w:pPr>
      <w:r>
        <w:t xml:space="preserve">capabilities.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78" name="index-121_1.png" descr="index-121_1.png"/>
            <wp:cNvGraphicFramePr>
              <a:graphicFrameLocks noChangeAspect="1"/>
            </wp:cNvGraphicFramePr>
            <a:graphic>
              <a:graphicData uri="http://schemas.openxmlformats.org/drawingml/2006/picture">
                <pic:pic>
                  <pic:nvPicPr>
                    <pic:cNvPr id="0" name="index-121_1.png" descr="index-121_1.png"/>
                    <pic:cNvPicPr/>
                  </pic:nvPicPr>
                  <pic:blipFill>
                    <a:blip r:embed="rId28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79" name="index-121_2.png" descr="index-121_2.png"/>
            <wp:cNvGraphicFramePr>
              <a:graphicFrameLocks noChangeAspect="1"/>
            </wp:cNvGraphicFramePr>
            <a:graphic>
              <a:graphicData uri="http://schemas.openxmlformats.org/drawingml/2006/picture">
                <pic:pic>
                  <pic:nvPicPr>
                    <pic:cNvPr id="0" name="index-121_2.png" descr="index-121_2.png"/>
                    <pic:cNvPicPr/>
                  </pic:nvPicPr>
                  <pic:blipFill>
                    <a:blip r:embed="rId283"/>
                    <a:stretch>
                      <a:fillRect/>
                    </a:stretch>
                  </pic:blipFill>
                  <pic:spPr>
                    <a:xfrm>
                      <a:off x="0" y="0"/>
                      <a:ext cx="914400" cy="444500"/>
                    </a:xfrm>
                    <a:prstGeom prst="rect">
                      <a:avLst/>
                    </a:prstGeom>
                  </pic:spPr>
                </pic:pic>
              </a:graphicData>
            </a:graphic>
          </wp:anchor>
        </w:drawing>
      </w:r>
    </w:p>
    <w:p>
      <w:pPr>
        <w:pStyle w:val="0 Block"/>
      </w:pPr>
    </w:p>
    <w:p>
      <w:bookmarkStart w:id="127" w:name="Chapter_4_26"/>
      <w:pPr>
        <w:pStyle w:val="Heading 1"/>
        <w:pageBreakBefore w:val="on"/>
      </w:pPr>
      <w:r>
        <w:t>Chapter 4</w:t>
      </w:r>
      <w:bookmarkEnd w:id="127"/>
    </w:p>
    <w:p>
      <w:pPr>
        <w:pStyle w:val="Para 25"/>
      </w:pPr>
      <w:r>
        <w:t/>
      </w:r>
    </w:p>
    <w:p>
      <w:pPr>
        <w:pStyle w:val="Para 03"/>
      </w:pPr>
      <w:r>
        <w:t xml:space="preserve">Marimba http://www.marimba.com Marimba provides separate management </w:t>
      </w:r>
    </w:p>
    <w:p>
      <w:pPr>
        <w:pStyle w:val="Para 06"/>
      </w:pPr>
      <w:r>
        <w:t xml:space="preserve">solutions for desktop and mobile management, </w:t>
      </w:r>
    </w:p>
    <w:p>
      <w:pPr>
        <w:pStyle w:val="Para 06"/>
      </w:pPr>
      <w:r>
        <w:t xml:space="preserve">server management, and embedded </w:t>
      </w:r>
    </w:p>
    <w:p>
      <w:pPr>
        <w:pStyle w:val="Para 06"/>
      </w:pPr>
      <w:r>
        <w:t xml:space="preserve">management. The desktop/mobile management </w:t>
      </w:r>
    </w:p>
    <w:p>
      <w:pPr>
        <w:pStyle w:val="Para 06"/>
      </w:pPr>
      <w:r>
        <w:t xml:space="preserve">solution offers software distribution, inventory </w:t>
      </w:r>
    </w:p>
    <w:p>
      <w:pPr>
        <w:pStyle w:val="Para 06"/>
      </w:pPr>
      <w:r>
        <w:t xml:space="preserve">management, subscription management, and </w:t>
      </w:r>
    </w:p>
    <w:p>
      <w:pPr>
        <w:pStyle w:val="Para 06"/>
      </w:pPr>
      <w:r>
        <w:t xml:space="preserve">modules for migration and infrastructure. </w:t>
      </w:r>
    </w:p>
    <w:p>
      <w:pPr>
        <w:pStyle w:val="Para 03"/>
      </w:pPr>
      <w:r>
        <w:t xml:space="preserve">Microsoft </w:t>
      </w:r>
      <w:r>
        <w:rPr>
          <w:rStyle w:val="Text2"/>
        </w:rPr>
        <w:t xml:space="preserve"> </w:t>
      </w:r>
      <w:r>
        <w:t>http://www.microsoft.com/manage</w:t>
      </w:r>
      <w:r>
        <w:rPr>
          <w:rStyle w:val="Text2"/>
        </w:rPr>
        <w:t xml:space="preserve"> </w:t>
      </w:r>
      <w:r>
        <w:t xml:space="preserve">Microsoft provides several solutions for </w:t>
      </w:r>
    </w:p>
    <w:p>
      <w:pPr>
        <w:pStyle w:val="Para 21"/>
      </w:pPr>
      <w:r>
        <w:t xml:space="preserve">ment </w:t>
      </w:r>
      <w:r>
        <w:rPr>
          <w:rStyle w:val="Text2"/>
        </w:rPr>
        <w:t xml:space="preserve"> </w:t>
      </w:r>
      <w:r>
        <w:t xml:space="preserve">management of Windows systems including </w:t>
      </w:r>
    </w:p>
    <w:p>
      <w:pPr>
        <w:pStyle w:val="Para 06"/>
      </w:pPr>
      <w:r>
        <w:t xml:space="preserve">Systems Management Server (SMS), IntelliMirror </w:t>
      </w:r>
    </w:p>
    <w:p>
      <w:pPr>
        <w:pStyle w:val="Para 06"/>
      </w:pPr>
      <w:r>
        <w:t xml:space="preserve">(Group Policy), Remote Installation Services </w:t>
      </w:r>
    </w:p>
    <w:p>
      <w:pPr>
        <w:pStyle w:val="Para 06"/>
      </w:pPr>
      <w:r>
        <w:t xml:space="preserve">(RIS), and Software Update Services (SUS). </w:t>
      </w:r>
    </w:p>
    <w:p>
      <w:pPr>
        <w:pStyle w:val="Para 06"/>
      </w:pPr>
      <w:r>
        <w:t xml:space="preserve">Microsoft SMS and IntelliMirror make up a large </w:t>
      </w:r>
    </w:p>
    <w:p>
      <w:pPr>
        <w:pStyle w:val="Para 06"/>
      </w:pPr>
      <w:r>
        <w:t xml:space="preserve">percentage of the management solutions in use </w:t>
      </w:r>
    </w:p>
    <w:p>
      <w:pPr>
        <w:pStyle w:val="Para 06"/>
      </w:pPr>
      <w:r>
        <w:t xml:space="preserve">today. Both are powerful and regularly enhanced. </w:t>
      </w:r>
    </w:p>
    <w:p>
      <w:pPr>
        <w:pStyle w:val="Para 06"/>
      </w:pPr>
      <w:r>
        <w:t xml:space="preserve">As a result of the popularity of these solutions, </w:t>
      </w:r>
    </w:p>
    <w:p>
      <w:pPr>
        <w:pStyle w:val="Para 06"/>
      </w:pPr>
      <w:r>
        <w:t xml:space="preserve">many companies feature interoperability through </w:t>
      </w:r>
    </w:p>
    <w:p>
      <w:pPr>
        <w:pStyle w:val="Para 06"/>
      </w:pPr>
      <w:r>
        <w:t xml:space="preserve">sharing of data or by developing add-in products </w:t>
      </w:r>
    </w:p>
    <w:p>
      <w:pPr>
        <w:pStyle w:val="Para 06"/>
      </w:pPr>
      <w:r>
        <w:t xml:space="preserve">to enhance the features provided out of the box. </w:t>
      </w:r>
    </w:p>
    <w:p>
      <w:pPr>
        <w:pStyle w:val="Para 03"/>
      </w:pPr>
      <w:r>
        <w:t xml:space="preserve">Mobile </w:t>
      </w:r>
      <w:r>
        <w:rPr>
          <w:rStyle w:val="Text2"/>
        </w:rPr>
        <w:t xml:space="preserve"> </w:t>
      </w:r>
      <w:r>
        <w:t xml:space="preserve">http://www.mobileautomation.com Mobile Automation’s Mobile Lifecycle </w:t>
        <w:t xml:space="preserve">Automation </w:t>
      </w:r>
      <w:r>
        <w:rPr>
          <w:rStyle w:val="Text2"/>
        </w:rPr>
        <w:t xml:space="preserve"> </w:t>
      </w:r>
      <w:r>
        <w:t xml:space="preserve">Management Suite aims to provide an all-in-one </w:t>
      </w:r>
    </w:p>
    <w:p>
      <w:pPr>
        <w:pStyle w:val="Para 06"/>
      </w:pPr>
      <w:r>
        <w:t xml:space="preserve">solution for discovering, securing, managing, </w:t>
      </w:r>
    </w:p>
    <w:p>
      <w:pPr>
        <w:pStyle w:val="Para 06"/>
      </w:pPr>
      <w:r>
        <w:t xml:space="preserve">maintaining, supporting, and migrating all </w:t>
      </w:r>
    </w:p>
    <w:p>
      <w:pPr>
        <w:pStyle w:val="Para 06"/>
      </w:pPr>
      <w:r>
        <w:t xml:space="preserve">desktops, laptops, servers, and handheld devices </w:t>
      </w:r>
    </w:p>
    <w:p>
      <w:pPr>
        <w:pStyle w:val="Para 06"/>
      </w:pPr>
      <w:r>
        <w:t xml:space="preserve">from any location via a single management </w:t>
      </w:r>
    </w:p>
    <w:p>
      <w:pPr>
        <w:pStyle w:val="Para 16"/>
      </w:pPr>
      <w:r>
        <w:t xml:space="preserve">console. </w:t>
      </w:r>
    </w:p>
    <w:p>
      <w:pPr>
        <w:pStyle w:val="Para 03"/>
      </w:pPr>
      <w:r>
        <w:t xml:space="preserve">NetSupport </w:t>
      </w:r>
      <w:r>
        <w:rPr>
          <w:rStyle w:val="Text2"/>
        </w:rPr>
        <w:t xml:space="preserve"> </w:t>
      </w:r>
      <w:r>
        <w:t>http://www.netsupport-</w:t>
      </w:r>
      <w:r>
        <w:rPr>
          <w:rStyle w:val="Text2"/>
        </w:rPr>
        <w:t xml:space="preserve"> </w:t>
      </w:r>
      <w:r>
        <w:t xml:space="preserve">NetSupport Solutions offers NetInstall, a software </w:t>
        <w:t xml:space="preserve">Solutions </w:t>
      </w:r>
      <w:r>
        <w:rPr>
          <w:rStyle w:val="Text2"/>
        </w:rPr>
        <w:t xml:space="preserve"> </w:t>
      </w:r>
      <w:r>
        <w:t xml:space="preserve">solutions.com </w:t>
      </w:r>
      <w:r>
        <w:rPr>
          <w:rStyle w:val="Text2"/>
        </w:rPr>
        <w:t xml:space="preserve"> </w:t>
      </w:r>
      <w:r>
        <w:t xml:space="preserve">packaging, distribution, and installation system </w:t>
      </w:r>
    </w:p>
    <w:p>
      <w:pPr>
        <w:pStyle w:val="Para 06"/>
      </w:pPr>
      <w:r>
        <w:t xml:space="preserve">that also provides creation, distribution, and </w:t>
      </w:r>
    </w:p>
    <w:p>
      <w:pPr>
        <w:pStyle w:val="Para 06"/>
      </w:pPr>
      <w:r>
        <w:t xml:space="preserve">execution of configuration scripts. There are two </w:t>
      </w:r>
    </w:p>
    <w:p>
      <w:pPr>
        <w:pStyle w:val="Para 06"/>
      </w:pPr>
      <w:r>
        <w:t xml:space="preserve">editions of NetInstall, a Standard Edition (SE) </w:t>
      </w:r>
    </w:p>
    <w:p>
      <w:pPr>
        <w:pStyle w:val="Para 06"/>
      </w:pPr>
      <w:r>
        <w:t xml:space="preserve">and an Enterprise Edition (EE), which includes </w:t>
      </w:r>
    </w:p>
    <w:p>
      <w:pPr>
        <w:pStyle w:val="Para 06"/>
      </w:pPr>
      <w:r>
        <w:t xml:space="preserve">additional features for use in large and distributed </w:t>
      </w:r>
    </w:p>
    <w:p>
      <w:pPr>
        <w:pStyle w:val="Para 16"/>
      </w:pPr>
      <w:r>
        <w:t xml:space="preserve">network environments. </w:t>
      </w:r>
    </w:p>
    <w:p>
      <w:pPr>
        <w:pStyle w:val="Para 03"/>
      </w:pPr>
      <w:r>
        <w:t xml:space="preserve">New Boundary </w:t>
      </w:r>
      <w:r>
        <w:rPr>
          <w:rStyle w:val="Text2"/>
        </w:rPr>
        <w:t xml:space="preserve"> </w:t>
      </w:r>
      <w:r>
        <w:t xml:space="preserve">http://www.newboundary.com </w:t>
      </w:r>
      <w:r>
        <w:rPr>
          <w:rStyle w:val="Text2"/>
        </w:rPr>
        <w:t xml:space="preserve"> </w:t>
      </w:r>
      <w:r>
        <w:t xml:space="preserve">New Boundary Technologies provides its Prism </w:t>
        <w:t xml:space="preserve">Technologies </w:t>
      </w:r>
      <w:r>
        <w:rPr>
          <w:rStyle w:val="Text2"/>
        </w:rPr>
        <w:t xml:space="preserve"> </w:t>
      </w:r>
      <w:r>
        <w:t xml:space="preserve">Deploy software for the installation and updating </w:t>
      </w:r>
    </w:p>
    <w:p>
      <w:pPr>
        <w:pStyle w:val="Para 06"/>
      </w:pPr>
      <w:r>
        <w:t xml:space="preserve">of software on local and mobile clients and </w:t>
      </w:r>
    </w:p>
    <w:p>
      <w:pPr>
        <w:pStyle w:val="Para 06"/>
      </w:pPr>
      <w:r>
        <w:t xml:space="preserve">servers. It provides automatic targeting of </w:t>
      </w:r>
    </w:p>
    <w:p>
      <w:pPr>
        <w:pStyle w:val="Para 06"/>
      </w:pPr>
      <w:r>
        <w:t xml:space="preserve">computers based on hardware, software, or </w:t>
      </w:r>
    </w:p>
    <w:p>
      <w:pPr>
        <w:pStyle w:val="Para 06"/>
      </w:pPr>
      <w:r>
        <w:t xml:space="preserve">network configuration without a prior inventory </w:t>
      </w:r>
    </w:p>
    <w:p>
      <w:pPr>
        <w:pStyle w:val="Para 16"/>
      </w:pPr>
      <w:r>
        <w:t xml:space="preserve">scan. </w:t>
      </w:r>
    </w:p>
    <w:p>
      <w:pPr>
        <w:pStyle w:val="Para 03"/>
      </w:pPr>
      <w:r>
        <w:t xml:space="preserve">Novadigm http://www.novadigm.com Radia Software Manager is Novadigm’s change </w:t>
      </w:r>
    </w:p>
    <w:p>
      <w:pPr>
        <w:pStyle w:val="Para 06"/>
      </w:pPr>
      <w:r>
        <w:t xml:space="preserve">and configuration management tool that allows </w:t>
      </w:r>
    </w:p>
    <w:p>
      <w:pPr>
        <w:pStyle w:val="Para 06"/>
      </w:pPr>
      <w:r>
        <w:t xml:space="preserve">policy-based control of deployments, updates, </w:t>
      </w:r>
    </w:p>
    <w:p>
      <w:pPr>
        <w:pStyle w:val="Para 06"/>
      </w:pPr>
      <w:r>
        <w:t xml:space="preserve">repairs, and removals. Other tools in the Radia </w:t>
      </w:r>
    </w:p>
    <w:p>
      <w:pPr>
        <w:pStyle w:val="Para 06"/>
      </w:pPr>
      <w:r>
        <w:t xml:space="preserve">family include its Software Manager (Web-based </w:t>
      </w:r>
    </w:p>
    <w:p>
      <w:pPr>
        <w:pStyle w:val="Para 06"/>
      </w:pPr>
      <w:r>
        <w:t xml:space="preserve">user installations), Inventory Manager (hardware </w:t>
      </w:r>
    </w:p>
    <w:p>
      <w:pPr>
        <w:pStyle w:val="Para 06"/>
      </w:pPr>
      <w:r>
        <w:t xml:space="preserve">and software), OS Manager (imaging and </w:t>
      </w:r>
    </w:p>
    <w:p>
      <w:pPr>
        <w:pStyle w:val="Para 06"/>
      </w:pPr>
      <w:r>
        <w:t xml:space="preserve">settings migration), and Desktop Manager </w:t>
      </w:r>
    </w:p>
    <w:p>
      <w:pPr>
        <w:pStyle w:val="Para 06"/>
      </w:pPr>
      <w:r>
        <w:t xml:space="preserve">(change and configuration management).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80" name="index-122_1.png" descr="index-122_1.png"/>
            <wp:cNvGraphicFramePr>
              <a:graphicFrameLocks noChangeAspect="1"/>
            </wp:cNvGraphicFramePr>
            <a:graphic>
              <a:graphicData uri="http://schemas.openxmlformats.org/drawingml/2006/picture">
                <pic:pic>
                  <pic:nvPicPr>
                    <pic:cNvPr id="0" name="index-122_1.png" descr="index-122_1.png"/>
                    <pic:cNvPicPr/>
                  </pic:nvPicPr>
                  <pic:blipFill>
                    <a:blip r:embed="rId28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81" name="index-122_2.png" descr="index-122_2.png"/>
            <wp:cNvGraphicFramePr>
              <a:graphicFrameLocks noChangeAspect="1"/>
            </wp:cNvGraphicFramePr>
            <a:graphic>
              <a:graphicData uri="http://schemas.openxmlformats.org/drawingml/2006/picture">
                <pic:pic>
                  <pic:nvPicPr>
                    <pic:cNvPr id="0" name="index-122_2.png" descr="index-122_2.png"/>
                    <pic:cNvPicPr/>
                  </pic:nvPicPr>
                  <pic:blipFill>
                    <a:blip r:embed="rId285"/>
                    <a:stretch>
                      <a:fillRect/>
                    </a:stretch>
                  </pic:blipFill>
                  <pic:spPr>
                    <a:xfrm>
                      <a:off x="0" y="0"/>
                      <a:ext cx="914400" cy="444500"/>
                    </a:xfrm>
                    <a:prstGeom prst="rect">
                      <a:avLst/>
                    </a:prstGeom>
                  </pic:spPr>
                </pic:pic>
              </a:graphicData>
            </a:graphic>
          </wp:anchor>
        </w:drawing>
      </w:r>
    </w:p>
    <w:p>
      <w:pPr>
        <w:pStyle w:val="0 Block"/>
      </w:pPr>
    </w:p>
    <w:p>
      <w:bookmarkStart w:id="128" w:name="Chapter_4_27"/>
      <w:pPr>
        <w:pStyle w:val="Heading 1"/>
        <w:pageBreakBefore w:val="on"/>
      </w:pPr>
      <w:r>
        <w:t>Chapter 4</w:t>
      </w:r>
      <w:bookmarkEnd w:id="128"/>
    </w:p>
    <w:p>
      <w:pPr>
        <w:pStyle w:val="Para 25"/>
      </w:pPr>
      <w:r>
        <w:t/>
      </w:r>
    </w:p>
    <w:p>
      <w:pPr>
        <w:pStyle w:val="Para 03"/>
      </w:pPr>
      <w:r>
        <w:t xml:space="preserve">Novell http://www.novell.com/ Novell offers ZENworks for Desktops, which runs </w:t>
      </w:r>
    </w:p>
    <w:p>
      <w:pPr>
        <w:pStyle w:val="Para 06"/>
      </w:pPr>
      <w:r>
        <w:t xml:space="preserve">from Novell or Windows servers and requires no </w:t>
      </w:r>
    </w:p>
    <w:p>
      <w:pPr>
        <w:pStyle w:val="Para 06"/>
      </w:pPr>
      <w:r>
        <w:t xml:space="preserve">desktop client for management of Windows 98 </w:t>
      </w:r>
    </w:p>
    <w:p>
      <w:pPr>
        <w:pStyle w:val="Para 06"/>
      </w:pPr>
      <w:r>
        <w:t xml:space="preserve">and later systems. It provides application </w:t>
      </w:r>
    </w:p>
    <w:p>
      <w:pPr>
        <w:pStyle w:val="Para 06"/>
      </w:pPr>
      <w:r>
        <w:t xml:space="preserve">deployment, policy management, software and </w:t>
      </w:r>
    </w:p>
    <w:p>
      <w:pPr>
        <w:pStyle w:val="Para 06"/>
      </w:pPr>
      <w:r>
        <w:t xml:space="preserve">hardware inventory, desktop imaging and remote </w:t>
      </w:r>
    </w:p>
    <w:p>
      <w:pPr>
        <w:pStyle w:val="Para 16"/>
      </w:pPr>
      <w:r>
        <w:t xml:space="preserve">management. </w:t>
      </w:r>
    </w:p>
    <w:p>
      <w:pPr>
        <w:pStyle w:val="Para 03"/>
      </w:pPr>
      <w:r>
        <w:t xml:space="preserve">On Technology </w:t>
      </w:r>
      <w:r>
        <w:rPr>
          <w:rStyle w:val="Text2"/>
        </w:rPr>
        <w:t xml:space="preserve"> </w:t>
      </w:r>
      <w:r>
        <w:t xml:space="preserve">http://www.on.com </w:t>
      </w:r>
      <w:r>
        <w:rPr>
          <w:rStyle w:val="Text2"/>
        </w:rPr>
        <w:t xml:space="preserve"> </w:t>
      </w:r>
      <w:r>
        <w:t xml:space="preserve">ON Command SiteManager is provided by On </w:t>
      </w:r>
    </w:p>
    <w:p>
      <w:pPr>
        <w:pStyle w:val="Para 06"/>
      </w:pPr>
      <w:r>
        <w:t xml:space="preserve">Technology as a desktop management system </w:t>
      </w:r>
    </w:p>
    <w:p>
      <w:pPr>
        <w:pStyle w:val="Para 06"/>
      </w:pPr>
      <w:r>
        <w:t xml:space="preserve">optimized for smaller organizations. It provides a </w:t>
      </w:r>
    </w:p>
    <w:p>
      <w:pPr>
        <w:pStyle w:val="Para 06"/>
      </w:pPr>
      <w:r>
        <w:t xml:space="preserve">single console interface for deploying OSs, </w:t>
      </w:r>
    </w:p>
    <w:p>
      <w:pPr>
        <w:pStyle w:val="Para 06"/>
      </w:pPr>
      <w:r>
        <w:t xml:space="preserve">installing applications, updating software, and </w:t>
      </w:r>
    </w:p>
    <w:p>
      <w:pPr>
        <w:pStyle w:val="Para 06"/>
      </w:pPr>
      <w:r>
        <w:t xml:space="preserve">performing disaster recovery and Windows </w:t>
      </w:r>
    </w:p>
    <w:p>
      <w:pPr>
        <w:pStyle w:val="Para 06"/>
      </w:pPr>
      <w:r>
        <w:t xml:space="preserve">migrations. For larger networks, ON Command </w:t>
      </w:r>
    </w:p>
    <w:p>
      <w:pPr>
        <w:pStyle w:val="Para 06"/>
      </w:pPr>
      <w:r>
        <w:t xml:space="preserve">CCM offers an open and scalable system </w:t>
      </w:r>
    </w:p>
    <w:p>
      <w:pPr>
        <w:pStyle w:val="Para 06"/>
      </w:pPr>
      <w:r>
        <w:t xml:space="preserve">providing much the same functionality. </w:t>
      </w:r>
    </w:p>
    <w:p>
      <w:pPr>
        <w:pStyle w:val="Para 03"/>
      </w:pPr>
      <w:r>
        <w:t xml:space="preserve">OnDemand </w:t>
      </w:r>
      <w:r>
        <w:rPr>
          <w:rStyle w:val="Text2"/>
        </w:rPr>
        <w:t xml:space="preserve"> </w:t>
      </w:r>
      <w:r>
        <w:t>http://www.ondemandsoftware.co</w:t>
      </w:r>
      <w:r>
        <w:rPr>
          <w:rStyle w:val="Text2"/>
        </w:rPr>
        <w:t xml:space="preserve"> </w:t>
      </w:r>
      <w:r>
        <w:t xml:space="preserve">Often thought of as only a repackaging tool, </w:t>
        <w:t xml:space="preserve">Software </w:t>
      </w:r>
      <w:r>
        <w:rPr>
          <w:rStyle w:val="Text2"/>
        </w:rPr>
        <w:t xml:space="preserve"> </w:t>
      </w:r>
      <w:r>
        <w:t xml:space="preserve">m </w:t>
      </w:r>
      <w:r>
        <w:rPr>
          <w:rStyle w:val="Text2"/>
        </w:rPr>
        <w:t xml:space="preserve"> </w:t>
      </w:r>
      <w:r>
        <w:t xml:space="preserve">OnDemand Software’s WinINSTALL features </w:t>
      </w:r>
    </w:p>
    <w:p>
      <w:pPr>
        <w:pStyle w:val="Para 06"/>
      </w:pPr>
      <w:r>
        <w:t xml:space="preserve">automated software distribution to desktop and </w:t>
      </w:r>
    </w:p>
    <w:p>
      <w:pPr>
        <w:pStyle w:val="Para 06"/>
      </w:pPr>
      <w:r>
        <w:t xml:space="preserve">mobile clients. It creates packages and allows for </w:t>
      </w:r>
    </w:p>
    <w:p>
      <w:pPr>
        <w:pStyle w:val="Para 06"/>
      </w:pPr>
      <w:r>
        <w:t xml:space="preserve">deployment of Windows OSs and applications. </w:t>
      </w:r>
    </w:p>
    <w:p>
      <w:pPr>
        <w:pStyle w:val="Para 03"/>
      </w:pPr>
      <w:r>
        <w:t xml:space="preserve">Outerbounds </w:t>
      </w:r>
      <w:r>
        <w:rPr>
          <w:rStyle w:val="Text2"/>
        </w:rPr>
        <w:t xml:space="preserve"> </w:t>
      </w:r>
      <w:r>
        <w:t xml:space="preserve">http://www.outerbounds.com </w:t>
      </w:r>
      <w:r>
        <w:rPr>
          <w:rStyle w:val="Text2"/>
        </w:rPr>
        <w:t xml:space="preserve"> </w:t>
      </w:r>
      <w:r>
        <w:t xml:space="preserve">Outerbounds Technologies offers PC lifecycle </w:t>
        <w:t xml:space="preserve">Technologies </w:t>
      </w:r>
      <w:r>
        <w:rPr>
          <w:rStyle w:val="Text2"/>
        </w:rPr>
        <w:t xml:space="preserve"> </w:t>
      </w:r>
      <w:r>
        <w:t xml:space="preserve">management through its Empirum software. It </w:t>
      </w:r>
    </w:p>
    <w:p>
      <w:pPr>
        <w:pStyle w:val="Para 06"/>
      </w:pPr>
      <w:r>
        <w:t xml:space="preserve">features automated Windows migrations </w:t>
      </w:r>
    </w:p>
    <w:p>
      <w:pPr>
        <w:pStyle w:val="Para 06"/>
      </w:pPr>
      <w:r>
        <w:t xml:space="preserve">(scripted, not imaging), hardware and software </w:t>
      </w:r>
    </w:p>
    <w:p>
      <w:pPr>
        <w:pStyle w:val="Para 06"/>
      </w:pPr>
      <w:r>
        <w:t xml:space="preserve">inventory, disaster recovery and backup, and </w:t>
      </w:r>
    </w:p>
    <w:p>
      <w:pPr>
        <w:pStyle w:val="Para 06"/>
      </w:pPr>
      <w:r>
        <w:t xml:space="preserve">electronic software distribution. </w:t>
      </w:r>
    </w:p>
    <w:p>
      <w:pPr>
        <w:pStyle w:val="Para 03"/>
      </w:pPr>
      <w:r>
        <w:t>PatchLink http://www.patchlink.com PatchLink provides PatchLink Update, a cross-</w:t>
      </w:r>
    </w:p>
    <w:p>
      <w:pPr>
        <w:pStyle w:val="Para 06"/>
      </w:pPr>
      <w:r>
        <w:t xml:space="preserve">platform patch discovery and distribution utility </w:t>
      </w:r>
    </w:p>
    <w:p>
      <w:pPr>
        <w:pStyle w:val="Para 06"/>
      </w:pPr>
      <w:r>
        <w:t xml:space="preserve">that provides patch, software, data, and task </w:t>
      </w:r>
    </w:p>
    <w:p>
      <w:pPr>
        <w:pStyle w:val="Para 06"/>
      </w:pPr>
      <w:r>
        <w:t xml:space="preserve">deployment across the Internet. It automatically </w:t>
      </w:r>
    </w:p>
    <w:p>
      <w:pPr>
        <w:pStyle w:val="Para 06"/>
      </w:pPr>
      <w:r>
        <w:t xml:space="preserve">detects patch-related security vulnerabilities on </w:t>
      </w:r>
    </w:p>
    <w:p>
      <w:pPr>
        <w:pStyle w:val="Para 06"/>
      </w:pPr>
      <w:r>
        <w:t xml:space="preserve">client systems and provides the ability to correct </w:t>
      </w:r>
    </w:p>
    <w:p>
      <w:pPr>
        <w:pStyle w:val="Para 06"/>
      </w:pPr>
      <w:r>
        <w:t xml:space="preserve">them across all platforms and enterprise </w:t>
      </w:r>
    </w:p>
    <w:p>
      <w:pPr>
        <w:pStyle w:val="Para 16"/>
      </w:pPr>
      <w:r>
        <w:t xml:space="preserve">boundaries. </w:t>
      </w:r>
    </w:p>
    <w:p>
      <w:pPr>
        <w:pStyle w:val="Para 03"/>
      </w:pPr>
      <w:r>
        <w:t xml:space="preserve">Quest Software </w:t>
      </w:r>
      <w:r>
        <w:rPr>
          <w:rStyle w:val="Text2"/>
        </w:rPr>
        <w:t xml:space="preserve"> </w:t>
      </w:r>
      <w:r>
        <w:t xml:space="preserve">http://www.quest.com </w:t>
      </w:r>
      <w:r>
        <w:rPr>
          <w:rStyle w:val="Text2"/>
        </w:rPr>
        <w:t xml:space="preserve"> </w:t>
      </w:r>
      <w:r>
        <w:t xml:space="preserve">DeployDirector from Quest Software allows you </w:t>
      </w:r>
    </w:p>
    <w:p>
      <w:pPr>
        <w:pStyle w:val="Para 06"/>
      </w:pPr>
      <w:r>
        <w:t xml:space="preserve">to deploy, rollback, update, and manage your </w:t>
      </w:r>
    </w:p>
    <w:p>
      <w:pPr>
        <w:pStyle w:val="Para 06"/>
      </w:pPr>
      <w:r>
        <w:t xml:space="preserve">client-side Java applications, accelerating release </w:t>
      </w:r>
    </w:p>
    <w:p>
      <w:pPr>
        <w:pStyle w:val="Para 06"/>
      </w:pPr>
      <w:r>
        <w:t xml:space="preserve">cycles and reducing time-to-repair. </w:t>
      </w:r>
    </w:p>
    <w:p>
      <w:pPr>
        <w:pStyle w:val="Para 03"/>
      </w:pPr>
      <w:r>
        <w:t xml:space="preserve">ScriptLogic http://www.scriptlogic.com A graphical network administration tool, </w:t>
      </w:r>
    </w:p>
    <w:p>
      <w:pPr>
        <w:pStyle w:val="Para 06"/>
      </w:pPr>
      <w:r>
        <w:t xml:space="preserve">ScriptLogic includes features to support </w:t>
      </w:r>
    </w:p>
    <w:p>
      <w:pPr>
        <w:pStyle w:val="Para 06"/>
      </w:pPr>
      <w:r>
        <w:t xml:space="preserve">enterprise software deployment. Although it does </w:t>
      </w:r>
    </w:p>
    <w:p>
      <w:pPr>
        <w:pStyle w:val="Para 06"/>
      </w:pPr>
      <w:r>
        <w:t xml:space="preserve">not include a packaging component, the tool can </w:t>
      </w:r>
    </w:p>
    <w:p>
      <w:pPr>
        <w:pStyle w:val="Para 06"/>
      </w:pPr>
      <w:r>
        <w:t xml:space="preserve">be used to facilitate the deployment of existing </w:t>
      </w:r>
    </w:p>
    <w:p>
      <w:pPr>
        <w:pStyle w:val="Para 06"/>
      </w:pPr>
      <w:r>
        <w:t xml:space="preserve">packages (for example, MSI files) such as those </w:t>
      </w:r>
    </w:p>
    <w:p>
      <w:pPr>
        <w:pStyle w:val="Para 06"/>
      </w:pPr>
      <w:r>
        <w:t>containing applications, service packs, and so on.</w:t>
      </w:r>
    </w:p>
    <w:p>
      <w:pPr>
        <w:pStyle w:val="Para 03"/>
      </w:pPr>
      <w:r>
        <w:t xml:space="preserve">Snow Software </w:t>
      </w:r>
      <w:r>
        <w:rPr>
          <w:rStyle w:val="Text2"/>
        </w:rPr>
        <w:t xml:space="preserve"> </w:t>
      </w:r>
      <w:r>
        <w:t xml:space="preserve">http://www.snow.no </w:t>
      </w:r>
      <w:r>
        <w:rPr>
          <w:rStyle w:val="Text2"/>
        </w:rPr>
        <w:t xml:space="preserve"> </w:t>
      </w:r>
      <w:r>
        <w:t xml:space="preserve">Snow Software offers its Snow Distribution client </w:t>
      </w:r>
    </w:p>
    <w:p>
      <w:pPr>
        <w:pStyle w:val="Para 06"/>
      </w:pPr>
      <w:r>
        <w:t xml:space="preserve">management tool for the automatic distribution of </w:t>
      </w:r>
    </w:p>
    <w:p>
      <w:pPr>
        <w:pStyle w:val="Para 06"/>
      </w:pPr>
      <w:r>
        <w:t xml:space="preserve">applications, updates, and OS changes. It </w:t>
      </w:r>
    </w:p>
    <w:p>
      <w:pPr>
        <w:pStyle w:val="Para 06"/>
      </w:pPr>
      <w:r>
        <w:t xml:space="preserve">provides centralized Start menu and shortcut </w:t>
      </w:r>
    </w:p>
    <w:p>
      <w:pPr>
        <w:pStyle w:val="Para 06"/>
      </w:pPr>
      <w:r>
        <w:t xml:space="preserve">management as well as its own scripting </w:t>
      </w:r>
    </w:p>
    <w:p>
      <w:pPr>
        <w:pStyle w:val="Para 16"/>
      </w:pPr>
      <w:r>
        <w:t xml:space="preserve">language.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82" name="index-123_1.png" descr="index-123_1.png"/>
            <wp:cNvGraphicFramePr>
              <a:graphicFrameLocks noChangeAspect="1"/>
            </wp:cNvGraphicFramePr>
            <a:graphic>
              <a:graphicData uri="http://schemas.openxmlformats.org/drawingml/2006/picture">
                <pic:pic>
                  <pic:nvPicPr>
                    <pic:cNvPr id="0" name="index-123_1.png" descr="index-123_1.png"/>
                    <pic:cNvPicPr/>
                  </pic:nvPicPr>
                  <pic:blipFill>
                    <a:blip r:embed="rId28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83" name="index-123_2.png" descr="index-123_2.png"/>
            <wp:cNvGraphicFramePr>
              <a:graphicFrameLocks noChangeAspect="1"/>
            </wp:cNvGraphicFramePr>
            <a:graphic>
              <a:graphicData uri="http://schemas.openxmlformats.org/drawingml/2006/picture">
                <pic:pic>
                  <pic:nvPicPr>
                    <pic:cNvPr id="0" name="index-123_2.png" descr="index-123_2.png"/>
                    <pic:cNvPicPr/>
                  </pic:nvPicPr>
                  <pic:blipFill>
                    <a:blip r:embed="rId287"/>
                    <a:stretch>
                      <a:fillRect/>
                    </a:stretch>
                  </pic:blipFill>
                  <pic:spPr>
                    <a:xfrm>
                      <a:off x="0" y="0"/>
                      <a:ext cx="914400" cy="444500"/>
                    </a:xfrm>
                    <a:prstGeom prst="rect">
                      <a:avLst/>
                    </a:prstGeom>
                  </pic:spPr>
                </pic:pic>
              </a:graphicData>
            </a:graphic>
          </wp:anchor>
        </w:drawing>
      </w:r>
    </w:p>
    <w:p>
      <w:pPr>
        <w:pStyle w:val="0 Block"/>
      </w:pPr>
    </w:p>
    <w:p>
      <w:bookmarkStart w:id="129" w:name="Chapter_4_28"/>
      <w:pPr>
        <w:pStyle w:val="Heading 1"/>
        <w:pageBreakBefore w:val="on"/>
      </w:pPr>
      <w:r>
        <w:t>Chapter 4</w:t>
      </w:r>
      <w:bookmarkEnd w:id="129"/>
    </w:p>
    <w:p>
      <w:pPr>
        <w:pStyle w:val="Para 25"/>
      </w:pPr>
      <w:r>
        <w:t/>
      </w:r>
    </w:p>
    <w:p>
      <w:pPr>
        <w:pStyle w:val="Para 03"/>
      </w:pPr>
      <w:r>
        <w:t xml:space="preserve">St. Bernard </w:t>
      </w:r>
      <w:r>
        <w:rPr>
          <w:rStyle w:val="Text2"/>
        </w:rPr>
        <w:t xml:space="preserve"> </w:t>
      </w:r>
      <w:r>
        <w:t xml:space="preserve">http://www.stbernard.com </w:t>
      </w:r>
      <w:r>
        <w:rPr>
          <w:rStyle w:val="Text2"/>
        </w:rPr>
        <w:t xml:space="preserve"> </w:t>
      </w:r>
      <w:r>
        <w:t xml:space="preserve">Focusing on the tracking and deployment of </w:t>
        <w:t xml:space="preserve">Software </w:t>
      </w:r>
      <w:r>
        <w:rPr>
          <w:rStyle w:val="Text2"/>
        </w:rPr>
        <w:t xml:space="preserve"> </w:t>
      </w:r>
      <w:r>
        <w:t xml:space="preserve">service packs, hotfixes, and other patches, St. </w:t>
      </w:r>
    </w:p>
    <w:p>
      <w:pPr>
        <w:pStyle w:val="Para 06"/>
      </w:pPr>
      <w:r>
        <w:t xml:space="preserve">Bernard Software’s UpdateEXPERT assesses </w:t>
      </w:r>
    </w:p>
    <w:p>
      <w:pPr>
        <w:pStyle w:val="Para 06"/>
      </w:pPr>
      <w:r>
        <w:t xml:space="preserve">client systems for missing patches based on the </w:t>
      </w:r>
    </w:p>
    <w:p>
      <w:pPr>
        <w:pStyle w:val="Para 06"/>
      </w:pPr>
      <w:r>
        <w:t xml:space="preserve">company’s database of available fixes. You can </w:t>
      </w:r>
    </w:p>
    <w:p>
      <w:pPr>
        <w:pStyle w:val="Para 06"/>
      </w:pPr>
      <w:r>
        <w:t xml:space="preserve">research available fixes, scan your systems for </w:t>
      </w:r>
    </w:p>
    <w:p>
      <w:pPr>
        <w:pStyle w:val="Para 06"/>
      </w:pPr>
      <w:r>
        <w:t xml:space="preserve">them, then deploy updates to those machines </w:t>
      </w:r>
    </w:p>
    <w:p>
      <w:pPr>
        <w:pStyle w:val="Para 16"/>
      </w:pPr>
      <w:r>
        <w:t xml:space="preserve">you wish to update. </w:t>
      </w:r>
    </w:p>
    <w:p>
      <w:pPr>
        <w:pStyle w:val="Para 03"/>
      </w:pPr>
      <w:r>
        <w:t xml:space="preserve">Vector Networks http://www.vector-networks.com </w:t>
      </w:r>
      <w:r>
        <w:rPr>
          <w:rStyle w:val="Text2"/>
        </w:rPr>
        <w:t xml:space="preserve"> </w:t>
      </w:r>
      <w:r>
        <w:t xml:space="preserve">Vector Networks provides centralized desktop </w:t>
      </w:r>
    </w:p>
    <w:p>
      <w:pPr>
        <w:pStyle w:val="Para 06"/>
      </w:pPr>
      <w:r>
        <w:t xml:space="preserve">management via its PC-Duo Enterprise suite. Its </w:t>
      </w:r>
    </w:p>
    <w:p>
      <w:pPr>
        <w:pStyle w:val="Para 06"/>
      </w:pPr>
      <w:r>
        <w:t xml:space="preserve">modular architecture gives you the ability to </w:t>
      </w:r>
    </w:p>
    <w:p>
      <w:pPr>
        <w:pStyle w:val="Para 06"/>
      </w:pPr>
      <w:r>
        <w:t xml:space="preserve">purchase just the modules you require, including </w:t>
      </w:r>
    </w:p>
    <w:p>
      <w:pPr>
        <w:pStyle w:val="Para 06"/>
      </w:pPr>
      <w:r>
        <w:t xml:space="preserve">Inventory Management, Software Distribution, </w:t>
      </w:r>
    </w:p>
    <w:p>
      <w:pPr>
        <w:pStyle w:val="Para 06"/>
      </w:pPr>
      <w:r>
        <w:t xml:space="preserve">Software Metering, Help Desk Issue Tracking, </w:t>
      </w:r>
    </w:p>
    <w:p>
      <w:pPr>
        <w:pStyle w:val="Para 06"/>
      </w:pPr>
      <w:r>
        <w:t xml:space="preserve">Diagnostics and Remote Control. </w:t>
      </w:r>
    </w:p>
    <w:p>
      <w:pPr>
        <w:pStyle w:val="Para 03"/>
      </w:pPr>
      <w:r>
        <w:t xml:space="preserve">XcelleNet http://www.xcellenet.com XcelleNet Afaria focuses on systems </w:t>
      </w:r>
    </w:p>
    <w:p>
      <w:pPr>
        <w:pStyle w:val="Para 06"/>
      </w:pPr>
      <w:r>
        <w:t xml:space="preserve">management for mobile devices. It provides the </w:t>
      </w:r>
    </w:p>
    <w:p>
      <w:pPr>
        <w:pStyle w:val="Para 06"/>
      </w:pPr>
      <w:r>
        <w:t xml:space="preserve">capability to deploy applications and content, </w:t>
      </w:r>
    </w:p>
    <w:p>
      <w:pPr>
        <w:pStyle w:val="Para 06"/>
      </w:pPr>
      <w:r>
        <w:t xml:space="preserve">automatically back up data, and track hardware </w:t>
      </w:r>
    </w:p>
    <w:p>
      <w:pPr>
        <w:pStyle w:val="Para 06"/>
      </w:pPr>
      <w:r>
        <w:t xml:space="preserve">and software information. </w:t>
      </w:r>
    </w:p>
    <w:p>
      <w:pPr>
        <w:pStyle w:val="Para 03"/>
      </w:pPr>
      <w:r>
        <w:t xml:space="preserve">Xyro B4 </w:t>
      </w:r>
      <w:r>
        <w:rPr>
          <w:rStyle w:val="Text2"/>
        </w:rPr>
        <w:t xml:space="preserve"> </w:t>
      </w:r>
      <w:r>
        <w:t xml:space="preserve">http://www.xyro.com </w:t>
      </w:r>
      <w:r>
        <w:rPr>
          <w:rStyle w:val="Text2"/>
        </w:rPr>
        <w:t xml:space="preserve"> </w:t>
      </w:r>
      <w:r>
        <w:t xml:space="preserve">Xyro B4 provides its Active Distribution Console </w:t>
        <w:t xml:space="preserve">Software </w:t>
      </w:r>
      <w:r>
        <w:rPr>
          <w:rStyle w:val="Text2"/>
        </w:rPr>
        <w:t xml:space="preserve"> </w:t>
      </w:r>
      <w:r>
        <w:t xml:space="preserve">(ADC) for the one-to-many distribution of </w:t>
      </w:r>
    </w:p>
    <w:p>
      <w:pPr>
        <w:pStyle w:val="Para 06"/>
      </w:pPr>
      <w:r>
        <w:t xml:space="preserve">software or even data files via IP multicasts. It is </w:t>
      </w:r>
    </w:p>
    <w:p>
      <w:pPr>
        <w:pStyle w:val="Para 06"/>
      </w:pPr>
      <w:r>
        <w:t xml:space="preserve">also able to execute remote commands on </w:t>
      </w:r>
    </w:p>
    <w:p>
      <w:pPr>
        <w:pStyle w:val="Para 06"/>
      </w:pPr>
      <w:r>
        <w:t xml:space="preserve">several machines simultaneously allowing for its </w:t>
      </w:r>
    </w:p>
    <w:p>
      <w:pPr>
        <w:pStyle w:val="Para 06"/>
      </w:pPr>
      <w:r>
        <w:t xml:space="preserve">software installation capabilities. </w:t>
      </w:r>
    </w:p>
    <w:p>
      <w:pPr>
        <w:pStyle w:val="Para 25"/>
      </w:pPr>
      <w:r>
        <w:t/>
      </w:r>
    </w:p>
    <w:p>
      <w:pPr>
        <w:pStyle w:val="Para 10"/>
      </w:pPr>
      <w:r>
        <w:t xml:space="preserve">Table 5.2: Software deployment solution vendors. </w:t>
      </w:r>
    </w:p>
    <w:p>
      <w:pPr>
        <w:pStyle w:val="Para 25"/>
      </w:pPr>
      <w:r>
        <w:t/>
      </w:r>
    </w:p>
    <w:p>
      <w:pPr>
        <w:pStyle w:val="Para 02"/>
      </w:pPr>
      <w:r>
        <w:t xml:space="preserve">These and many more products are detailed on AppDeploy.com at http://www.appdeploy.com/tools. </w:t>
      </w:r>
    </w:p>
    <w:p>
      <w:pPr>
        <w:pStyle w:val="Para 25"/>
      </w:pPr>
      <w:r>
        <w:t/>
      </w:r>
    </w:p>
    <w:p>
      <w:pPr>
        <w:pStyle w:val="Para 12"/>
      </w:pPr>
      <w:r>
        <w:t xml:space="preserve">Summary </w:t>
      </w:r>
    </w:p>
    <w:p>
      <w:pPr>
        <w:pStyle w:val="Para 25"/>
      </w:pPr>
      <w:r>
        <w:t/>
      </w:r>
    </w:p>
    <w:p>
      <w:pPr>
        <w:pStyle w:val="Normal"/>
      </w:pPr>
      <w:r>
        <w:t xml:space="preserve">Each environment must have its own deployment process, and as the desktop administrator, </w:t>
      </w:r>
    </w:p>
    <w:p>
      <w:pPr>
        <w:pStyle w:val="Normal"/>
      </w:pPr>
      <w:r>
        <w:t xml:space="preserve">you’ll most likely be tasked with the creation of this process. In this chapter, we discussed how </w:t>
      </w:r>
    </w:p>
    <w:p>
      <w:pPr>
        <w:pStyle w:val="Normal"/>
      </w:pPr>
      <w:r>
        <w:t xml:space="preserve">determine with application deployment method will work best for your organization as well as explored some of the tools available to help you do so. </w:t>
      </w:r>
    </w:p>
    <w:p>
      <w:pPr>
        <w:pStyle w:val="Para 25"/>
      </w:pPr>
      <w:r>
        <w:t/>
      </w:r>
    </w:p>
    <w:p>
      <w:pPr>
        <w:pStyle w:val="Normal"/>
      </w:pPr>
      <w:r>
        <w:t xml:space="preserve">In the next chapter, we will turn our focus to security, which has become a hot topic in the past </w:t>
      </w:r>
    </w:p>
    <w:p>
      <w:pPr>
        <w:pStyle w:val="Normal"/>
      </w:pPr>
      <w:r>
        <w:t>few years. We will discuss security policy, tools, things to watch out for, and the benefits and drawbacks of implementing a locked down environment.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84" name="index-124_1.png" descr="index-124_1.png"/>
            <wp:cNvGraphicFramePr>
              <a:graphicFrameLocks noChangeAspect="1"/>
            </wp:cNvGraphicFramePr>
            <a:graphic>
              <a:graphicData uri="http://schemas.openxmlformats.org/drawingml/2006/picture">
                <pic:pic>
                  <pic:nvPicPr>
                    <pic:cNvPr id="0" name="index-124_1.png" descr="index-124_1.png"/>
                    <pic:cNvPicPr/>
                  </pic:nvPicPr>
                  <pic:blipFill>
                    <a:blip r:embed="rId28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85" name="index-124_2.png" descr="index-124_2.png"/>
            <wp:cNvGraphicFramePr>
              <a:graphicFrameLocks noChangeAspect="1"/>
            </wp:cNvGraphicFramePr>
            <a:graphic>
              <a:graphicData uri="http://schemas.openxmlformats.org/drawingml/2006/picture">
                <pic:pic>
                  <pic:nvPicPr>
                    <pic:cNvPr id="0" name="index-124_2.png" descr="index-124_2.png"/>
                    <pic:cNvPicPr/>
                  </pic:nvPicPr>
                  <pic:blipFill>
                    <a:blip r:embed="rId289"/>
                    <a:stretch>
                      <a:fillRect/>
                    </a:stretch>
                  </pic:blipFill>
                  <pic:spPr>
                    <a:xfrm>
                      <a:off x="0" y="0"/>
                      <a:ext cx="914400" cy="444500"/>
                    </a:xfrm>
                    <a:prstGeom prst="rect">
                      <a:avLst/>
                    </a:prstGeom>
                  </pic:spPr>
                </pic:pic>
              </a:graphicData>
            </a:graphic>
          </wp:anchor>
        </w:drawing>
      </w:r>
    </w:p>
    <w:p>
      <w:pPr>
        <w:pStyle w:val="0 Block"/>
      </w:pPr>
    </w:p>
    <w:p>
      <w:bookmarkStart w:id="130" w:name="Chapter_5"/>
      <w:pPr>
        <w:pStyle w:val="Heading 1"/>
        <w:pageBreakBefore w:val="on"/>
      </w:pPr>
      <w:r>
        <w:t>Chapter 5</w:t>
      </w:r>
      <w:bookmarkEnd w:id="130"/>
    </w:p>
    <w:p>
      <w:pPr>
        <w:pStyle w:val="Para 25"/>
      </w:pPr>
      <w:r>
        <w:t/>
      </w:r>
    </w:p>
    <w:p>
      <w:pPr>
        <w:pStyle w:val="0 Block"/>
      </w:pPr>
    </w:p>
    <w:p>
      <w:bookmarkStart w:id="131" w:name="Chapter_5__Desktop_Security"/>
      <w:pPr>
        <w:pStyle w:val="Para 23"/>
        <w:pageBreakBefore w:val="on"/>
      </w:pPr>
      <w:r>
        <w:t xml:space="preserve">Chapter 5: Desktop Security </w:t>
      </w:r>
      <w:bookmarkEnd w:id="131"/>
    </w:p>
    <w:p>
      <w:pPr>
        <w:pStyle w:val="Para 25"/>
      </w:pPr>
      <w:r>
        <w:t/>
      </w:r>
    </w:p>
    <w:p>
      <w:pPr>
        <w:pStyle w:val="Normal"/>
      </w:pPr>
      <w:r>
        <w:t xml:space="preserve">In the last chapter, we covered the packaging and deployment of new software and updates. With </w:t>
      </w:r>
    </w:p>
    <w:p>
      <w:pPr>
        <w:pStyle w:val="Normal"/>
      </w:pPr>
      <w:r>
        <w:t xml:space="preserve">your baseline established, user environment customized, and applications and updates rolling, we </w:t>
      </w:r>
    </w:p>
    <w:p>
      <w:pPr>
        <w:pStyle w:val="Normal"/>
      </w:pPr>
      <w:r>
        <w:t xml:space="preserve">will address the security options available for maintaining the control and configuration of your network. However, it goes without saying that it is best to have your security policy and </w:t>
      </w:r>
    </w:p>
    <w:p>
      <w:pPr>
        <w:pStyle w:val="Normal"/>
      </w:pPr>
      <w:r>
        <w:t xml:space="preserve">enforcement methods well established before the first user sits in front of a computer. In this </w:t>
      </w:r>
    </w:p>
    <w:p>
      <w:pPr>
        <w:pStyle w:val="Normal"/>
      </w:pPr>
      <w:r>
        <w:t xml:space="preserve">chapter, we will discuss security policy, tools, things to watch out for, and the benefits and </w:t>
      </w:r>
    </w:p>
    <w:p>
      <w:pPr>
        <w:pStyle w:val="Normal"/>
      </w:pPr>
      <w:r>
        <w:t xml:space="preserve">drawbacks of implementing a locked down environment. </w:t>
      </w:r>
    </w:p>
    <w:p>
      <w:pPr>
        <w:pStyle w:val="Para 25"/>
      </w:pPr>
      <w:r>
        <w:t/>
      </w:r>
    </w:p>
    <w:p>
      <w:pPr>
        <w:pStyle w:val="Normal"/>
      </w:pPr>
      <w:r>
        <w:t xml:space="preserve">Security is a topic that has been steadily moving into the spotlight for the past several years. </w:t>
      </w:r>
    </w:p>
    <w:p>
      <w:pPr>
        <w:pStyle w:val="Normal"/>
      </w:pPr>
      <w:r>
        <w:t xml:space="preserve">Viruses, hackers, data theft, and piracy are on the minds of most organizations today. Security is </w:t>
      </w:r>
    </w:p>
    <w:p>
      <w:pPr>
        <w:pStyle w:val="Normal"/>
      </w:pPr>
      <w:r>
        <w:t xml:space="preserve">also a very broad topic. As such, we will focus on those issues that cause the most concern to you, the desktop administrator. The first of which is the establishment of a security policy. </w:t>
      </w:r>
    </w:p>
    <w:p>
      <w:pPr>
        <w:pStyle w:val="Para 25"/>
      </w:pPr>
      <w:r>
        <w:t/>
      </w:r>
    </w:p>
    <w:p>
      <w:pPr>
        <w:pStyle w:val="Para 12"/>
      </w:pPr>
      <w:r>
        <w:t xml:space="preserve">Written Security Policy </w:t>
      </w:r>
    </w:p>
    <w:p>
      <w:pPr>
        <w:pStyle w:val="Para 25"/>
      </w:pPr>
      <w:r>
        <w:t/>
      </w:r>
    </w:p>
    <w:p>
      <w:pPr>
        <w:pStyle w:val="Normal"/>
      </w:pPr>
      <w:r>
        <w:t xml:space="preserve">A written security policy is the documentation used to define the rules for the use of computer </w:t>
      </w:r>
    </w:p>
    <w:p>
      <w:pPr>
        <w:pStyle w:val="Normal"/>
      </w:pPr>
      <w:r>
        <w:t xml:space="preserve">systems in your organization. Without established, clearly written, and readily available </w:t>
      </w:r>
    </w:p>
    <w:p>
      <w:pPr>
        <w:pStyle w:val="Normal"/>
      </w:pPr>
      <w:r>
        <w:t xml:space="preserve">documentation, ignorance will prevail as the reason for all security violations. A written security policy is often overlooked until the damage has been done. To protect your organization from </w:t>
      </w:r>
    </w:p>
    <w:p>
      <w:pPr>
        <w:pStyle w:val="Normal"/>
      </w:pPr>
      <w:r>
        <w:t xml:space="preserve">data loss through misuse or from a lawsuit as the result of license violations or administrative </w:t>
      </w:r>
    </w:p>
    <w:p>
      <w:pPr>
        <w:pStyle w:val="Normal"/>
      </w:pPr>
      <w:r>
        <w:t xml:space="preserve">action, it is important that a written security policy be defined and enforced. </w:t>
      </w:r>
    </w:p>
    <w:p>
      <w:pPr>
        <w:pStyle w:val="Para 25"/>
      </w:pPr>
      <w:r>
        <w:t/>
      </w:r>
    </w:p>
    <w:p>
      <w:pPr>
        <w:pStyle w:val="Normal"/>
      </w:pPr>
      <w:r>
        <w:t xml:space="preserve">Keeping in mind that desktop security is only a part of an organization’s overall security policy </w:t>
      </w:r>
    </w:p>
    <w:p>
      <w:pPr>
        <w:pStyle w:val="Normal"/>
      </w:pPr>
      <w:r>
        <w:t xml:space="preserve">and that the level of restrictions imposed is often based on a user’s job, it is unlikely that you </w:t>
      </w:r>
    </w:p>
    <w:p>
      <w:pPr>
        <w:pStyle w:val="Normal"/>
      </w:pPr>
      <w:r>
        <w:t xml:space="preserve">should be drafting this policy yourself. There should be several people from management in </w:t>
      </w:r>
    </w:p>
    <w:p>
      <w:pPr>
        <w:pStyle w:val="Normal"/>
      </w:pPr>
      <w:r>
        <w:t xml:space="preserve">various departments involved in the creation and review of your organization’s security policy. </w:t>
      </w:r>
    </w:p>
    <w:p>
      <w:pPr>
        <w:pStyle w:val="Para 25"/>
      </w:pPr>
      <w:r>
        <w:t/>
      </w:r>
    </w:p>
    <w:p>
      <w:pPr>
        <w:pStyle w:val="Para 07"/>
      </w:pPr>
      <w:r>
        <w:t xml:space="preserve">Defining Your Security Policy </w:t>
      </w:r>
    </w:p>
    <w:p>
      <w:pPr>
        <w:pStyle w:val="Normal"/>
      </w:pPr>
      <w:r>
        <w:t xml:space="preserve">We will discuss the benefits and drawbacks that come with written security restrictions later in </w:t>
      </w:r>
    </w:p>
    <w:p>
      <w:pPr>
        <w:pStyle w:val="Normal"/>
      </w:pPr>
      <w:r>
        <w:t xml:space="preserve">this chapter. For now, I’ll summarize considerations to keep in mind when establishing this </w:t>
      </w:r>
    </w:p>
    <w:p>
      <w:pPr>
        <w:pStyle w:val="Normal"/>
      </w:pPr>
      <w:r>
        <w:t xml:space="preserve">documentation. </w:t>
      </w:r>
    </w:p>
    <w:p>
      <w:pPr>
        <w:pStyle w:val="Para 25"/>
      </w:pPr>
      <w:r>
        <w:t/>
      </w:r>
    </w:p>
    <w:p>
      <w:pPr>
        <w:pStyle w:val="Para 04"/>
      </w:pPr>
      <w:r>
        <w:t xml:space="preserve">• </w:t>
        <w:t xml:space="preserve">Keep it realistic—In some government networks or other environments in which data is </w:t>
      </w:r>
    </w:p>
    <w:p>
      <w:pPr>
        <w:pStyle w:val="Para 01"/>
      </w:pPr>
      <w:r>
        <w:t xml:space="preserve">very sensitive, extreme security measures are understandably a necessity. However, too </w:t>
      </w:r>
    </w:p>
    <w:p>
      <w:pPr>
        <w:pStyle w:val="Para 01"/>
      </w:pPr>
      <w:r>
        <w:t xml:space="preserve">strong a security policy can impede users’ effectiveness and might add complexity to </w:t>
      </w:r>
    </w:p>
    <w:p>
      <w:pPr>
        <w:pStyle w:val="Para 01"/>
      </w:pPr>
      <w:r>
        <w:t xml:space="preserve">desktop administration. This management concept is called </w:t>
      </w:r>
      <w:r>
        <w:rPr>
          <w:rStyle w:val="Text0"/>
        </w:rPr>
        <w:t>convergence</w:t>
      </w:r>
      <w:r>
        <w:t xml:space="preserve">, when multiple </w:t>
      </w:r>
    </w:p>
    <w:p>
      <w:pPr>
        <w:pStyle w:val="Para 01"/>
      </w:pPr>
      <w:r>
        <w:t xml:space="preserve">management goals, such as productivity and security begin to conflict. You will need to determine what is important to your business, then use that definition as your middle </w:t>
      </w:r>
    </w:p>
    <w:p>
      <w:pPr>
        <w:pStyle w:val="Para 01"/>
      </w:pPr>
      <w:r>
        <w:t xml:space="preserve">ground. When it comes to security, it is important to find a middle ground from which </w:t>
      </w:r>
    </w:p>
    <w:p>
      <w:pPr>
        <w:pStyle w:val="Para 01"/>
      </w:pPr>
      <w:r>
        <w:t xml:space="preserve">you can protect your data and systems without putting an unnecessary burden on those forced to abide by these rules. </w:t>
      </w:r>
    </w:p>
    <w:p>
      <w:pPr>
        <w:pStyle w:val="Para 25"/>
      </w:pPr>
      <w:r>
        <w:t/>
      </w:r>
    </w:p>
    <w:p>
      <w:pPr>
        <w:pStyle w:val="Para 02"/>
      </w:pPr>
      <w:r>
        <w:t xml:space="preserve">Are the rules being laid down enforceable? We will discuss many of the tools available to enforce </w:t>
      </w:r>
    </w:p>
    <w:p>
      <w:pPr>
        <w:pStyle w:val="Para 02"/>
      </w:pPr>
      <w:r>
        <w:t xml:space="preserve">your security policy. However, you must also keep in mind that enforcement and backing by </w:t>
      </w:r>
    </w:p>
    <w:p>
      <w:pPr>
        <w:pStyle w:val="Para 02"/>
      </w:pPr>
      <w:r>
        <w:t xml:space="preserve">management are vital to a security policy that is of any value. There must be a means of ensuring </w:t>
      </w:r>
    </w:p>
    <w:p>
      <w:pPr>
        <w:pStyle w:val="Para 02"/>
      </w:pPr>
      <w:r>
        <w:t xml:space="preserve">that the policy is followed and consequences result if they are not.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86" name="index-125_1.png" descr="index-125_1.png"/>
            <wp:cNvGraphicFramePr>
              <a:graphicFrameLocks noChangeAspect="1"/>
            </wp:cNvGraphicFramePr>
            <a:graphic>
              <a:graphicData uri="http://schemas.openxmlformats.org/drawingml/2006/picture">
                <pic:pic>
                  <pic:nvPicPr>
                    <pic:cNvPr id="0" name="index-125_1.png" descr="index-125_1.png"/>
                    <pic:cNvPicPr/>
                  </pic:nvPicPr>
                  <pic:blipFill>
                    <a:blip r:embed="rId29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87" name="index-125_2.png" descr="index-125_2.png"/>
            <wp:cNvGraphicFramePr>
              <a:graphicFrameLocks noChangeAspect="1"/>
            </wp:cNvGraphicFramePr>
            <a:graphic>
              <a:graphicData uri="http://schemas.openxmlformats.org/drawingml/2006/picture">
                <pic:pic>
                  <pic:nvPicPr>
                    <pic:cNvPr id="0" name="index-125_2.png" descr="index-125_2.png"/>
                    <pic:cNvPicPr/>
                  </pic:nvPicPr>
                  <pic:blipFill>
                    <a:blip r:embed="rId291"/>
                    <a:stretch>
                      <a:fillRect/>
                    </a:stretch>
                  </pic:blipFill>
                  <pic:spPr>
                    <a:xfrm>
                      <a:off x="0" y="0"/>
                      <a:ext cx="914400" cy="444500"/>
                    </a:xfrm>
                    <a:prstGeom prst="rect">
                      <a:avLst/>
                    </a:prstGeom>
                  </pic:spPr>
                </pic:pic>
              </a:graphicData>
            </a:graphic>
          </wp:anchor>
        </w:drawing>
      </w:r>
    </w:p>
    <w:p>
      <w:pPr>
        <w:pStyle w:val="0 Block"/>
      </w:pPr>
    </w:p>
    <w:p>
      <w:bookmarkStart w:id="132" w:name="Chapter_5_1"/>
      <w:pPr>
        <w:pStyle w:val="Heading 1"/>
        <w:pageBreakBefore w:val="on"/>
      </w:pPr>
      <w:r>
        <w:t>Chapter 5</w:t>
      </w:r>
      <w:bookmarkEnd w:id="132"/>
    </w:p>
    <w:p>
      <w:pPr>
        <w:pStyle w:val="Para 25"/>
      </w:pPr>
      <w:r>
        <w:t/>
      </w:r>
    </w:p>
    <w:p>
      <w:pPr>
        <w:pStyle w:val="Para 04"/>
      </w:pPr>
      <w:r>
        <w:t xml:space="preserve">• </w:t>
        <w:t xml:space="preserve">Keep it simple—Can those who must read and abide by the security policy understand it? </w:t>
      </w:r>
    </w:p>
    <w:p>
      <w:pPr>
        <w:pStyle w:val="Para 01"/>
      </w:pPr>
      <w:r>
        <w:t xml:space="preserve">As a technical person, it is easy to assume an unrealistic level of technical knowledge and </w:t>
      </w:r>
    </w:p>
    <w:p>
      <w:pPr>
        <w:pStyle w:val="Para 01"/>
      </w:pPr>
      <w:r>
        <w:t xml:space="preserve">to use terms that not everyone will understand. Everyone must understand the security </w:t>
      </w:r>
    </w:p>
    <w:p>
      <w:pPr>
        <w:pStyle w:val="Para 01"/>
      </w:pPr>
      <w:r>
        <w:t xml:space="preserve">policy, and although it is painful to dumb things down to the lowest common denominator, in the case of a document such as this, it is necessary to do so. </w:t>
      </w:r>
    </w:p>
    <w:p>
      <w:pPr>
        <w:pStyle w:val="Para 25"/>
      </w:pPr>
      <w:r>
        <w:t/>
      </w:r>
    </w:p>
    <w:p>
      <w:pPr>
        <w:pStyle w:val="Para 04"/>
      </w:pPr>
      <w:r>
        <w:t xml:space="preserve">• </w:t>
        <w:t xml:space="preserve">Keep it available—To establish a policy that people do not read defeats the purpose of </w:t>
      </w:r>
    </w:p>
    <w:p>
      <w:pPr>
        <w:pStyle w:val="Para 01"/>
      </w:pPr>
      <w:r>
        <w:t xml:space="preserve">creating one in the first place. Provide employees with a copy and have them sign a </w:t>
      </w:r>
    </w:p>
    <w:p>
      <w:pPr>
        <w:pStyle w:val="Para 01"/>
      </w:pPr>
      <w:r>
        <w:t xml:space="preserve">statement that they have read and understand it. Provide an electronic copy of the policy on your network for easy reference—a link from an intranet home page is ideal. </w:t>
      </w:r>
    </w:p>
    <w:p>
      <w:pPr>
        <w:pStyle w:val="Para 25"/>
      </w:pPr>
      <w:r>
        <w:t/>
      </w:r>
    </w:p>
    <w:p>
      <w:pPr>
        <w:pStyle w:val="Para 07"/>
      </w:pPr>
      <w:r>
        <w:t xml:space="preserve">Enforcing Your Security Policy </w:t>
      </w:r>
    </w:p>
    <w:p>
      <w:pPr>
        <w:pStyle w:val="Normal"/>
      </w:pPr>
      <w:r>
        <w:t xml:space="preserve">With your realistic, simple security policy as common knowledge, ensure that all users know </w:t>
      </w:r>
    </w:p>
    <w:p>
      <w:pPr>
        <w:pStyle w:val="Normal"/>
      </w:pPr>
      <w:r>
        <w:t xml:space="preserve">how you will be aware of violations and what you will do about them. It is difficult to enforce a </w:t>
      </w:r>
    </w:p>
    <w:p>
      <w:pPr>
        <w:pStyle w:val="Normal"/>
      </w:pPr>
      <w:r>
        <w:t xml:space="preserve">rule to which there is no consequence for a failure to comply. </w:t>
      </w:r>
    </w:p>
    <w:p>
      <w:pPr>
        <w:pStyle w:val="Para 25"/>
      </w:pPr>
      <w:r>
        <w:t/>
      </w:r>
    </w:p>
    <w:p>
      <w:pPr>
        <w:pStyle w:val="Para 04"/>
      </w:pPr>
      <w:r>
        <w:t xml:space="preserve">• </w:t>
        <w:t xml:space="preserve">Employing restrictions—A majority of this chapter will focus on the technologies and </w:t>
      </w:r>
    </w:p>
    <w:p>
      <w:pPr>
        <w:pStyle w:val="Para 01"/>
      </w:pPr>
      <w:r>
        <w:t xml:space="preserve">tools available to enforce your security policy. If users aren’t allowed to introduce media </w:t>
      </w:r>
    </w:p>
    <w:p>
      <w:pPr>
        <w:pStyle w:val="Para 01"/>
      </w:pPr>
      <w:r>
        <w:t xml:space="preserve">to the network, restrict their ability to do so. If users aren’t allowed to install </w:t>
      </w:r>
    </w:p>
    <w:p>
      <w:pPr>
        <w:pStyle w:val="Para 01"/>
      </w:pPr>
      <w:r>
        <w:t xml:space="preserve">unauthorized software, restrict their ability to do so. And if users are not allowed to save </w:t>
      </w:r>
    </w:p>
    <w:p>
      <w:pPr>
        <w:pStyle w:val="Para 01"/>
      </w:pPr>
      <w:r>
        <w:t xml:space="preserve">data to their local systems, restrict their ability to do so. See a trend here? </w:t>
      </w:r>
    </w:p>
    <w:p>
      <w:pPr>
        <w:pStyle w:val="Para 25"/>
      </w:pPr>
      <w:r>
        <w:t/>
      </w:r>
    </w:p>
    <w:p>
      <w:pPr>
        <w:pStyle w:val="Para 04"/>
      </w:pPr>
      <w:r>
        <w:t xml:space="preserve">• </w:t>
        <w:t xml:space="preserve">Monitoring violations—With the right tools and a little persistence, most any restriction </w:t>
      </w:r>
    </w:p>
    <w:p>
      <w:pPr>
        <w:pStyle w:val="Para 01"/>
      </w:pPr>
      <w:r>
        <w:t xml:space="preserve">imposed can be bypassed. Computer cases can be opened, users might bring in Plug and </w:t>
      </w:r>
    </w:p>
    <w:p>
      <w:pPr>
        <w:pStyle w:val="Para 01"/>
      </w:pPr>
      <w:r>
        <w:t xml:space="preserve">Play—PnP—storage devices, and users might attempt to guess passwords or access data </w:t>
      </w:r>
    </w:p>
    <w:p>
      <w:pPr>
        <w:pStyle w:val="Para 01"/>
      </w:pPr>
      <w:r>
        <w:t>to which they are not allowed. When you understand the weaknesses in your ability to restrict such behavior, you’ve reached step two of security policy enforcement—</w:t>
      </w:r>
    </w:p>
    <w:p>
      <w:pPr>
        <w:pStyle w:val="Para 01"/>
      </w:pPr>
      <w:r>
        <w:t xml:space="preserve">monitoring. </w:t>
      </w:r>
    </w:p>
    <w:p>
      <w:pPr>
        <w:pStyle w:val="Para 25"/>
      </w:pPr>
      <w:r>
        <w:t/>
      </w:r>
    </w:p>
    <w:p>
      <w:pPr>
        <w:pStyle w:val="Para 04"/>
      </w:pPr>
      <w:r>
        <w:t xml:space="preserve">• </w:t>
        <w:t xml:space="preserve">Imposing penalties—Odds are that you will be the one to point the finger, but not the one </w:t>
      </w:r>
    </w:p>
    <w:p>
      <w:pPr>
        <w:pStyle w:val="Para 01"/>
      </w:pPr>
      <w:r>
        <w:t xml:space="preserve">to punish offenders. It is, however, important for everyone to understand the consequences of security policy violation. The sensitivity and attention given to security </w:t>
      </w:r>
    </w:p>
    <w:p>
      <w:pPr>
        <w:pStyle w:val="Para 01"/>
      </w:pPr>
      <w:r>
        <w:t xml:space="preserve">in your organization will dictate the severity of these consequences. </w:t>
      </w:r>
    </w:p>
    <w:p>
      <w:pPr>
        <w:pStyle w:val="Para 25"/>
      </w:pPr>
      <w:r>
        <w:t/>
      </w:r>
    </w:p>
    <w:p>
      <w:pPr>
        <w:pStyle w:val="Para 02"/>
      </w:pPr>
      <w:r>
        <w:t xml:space="preserve">Get it in writing! Just as if an employee were regularly late for work, if a user has repeatedly violated </w:t>
      </w:r>
    </w:p>
    <w:p>
      <w:pPr>
        <w:pStyle w:val="Para 02"/>
      </w:pPr>
      <w:r>
        <w:t xml:space="preserve">security policy and a move is made to penalize the user, documented reprimands are imperative. An </w:t>
      </w:r>
    </w:p>
    <w:p>
      <w:pPr>
        <w:pStyle w:val="Para 02"/>
      </w:pPr>
      <w:r>
        <w:t xml:space="preserve">employee might choose to fight whatever penalty is being imposed, making it difficult to enforce </w:t>
      </w:r>
    </w:p>
    <w:p>
      <w:pPr>
        <w:pStyle w:val="Para 02"/>
      </w:pPr>
      <w:r>
        <w:t xml:space="preserve">without proper documentation. When a user violates security, the user should be made to sign and </w:t>
      </w:r>
    </w:p>
    <w:p>
      <w:pPr>
        <w:pStyle w:val="Para 02"/>
      </w:pPr>
      <w:r>
        <w:t xml:space="preserve">date a document clearly stating the violation in order to confirm that the user understands what he or </w:t>
      </w:r>
    </w:p>
    <w:p>
      <w:pPr>
        <w:pStyle w:val="Para 02"/>
      </w:pPr>
      <w:r>
        <w:t xml:space="preserve">she has done and to establish a trend in the event that repeated violations should arise.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88" name="index-126_1.png" descr="index-126_1.png"/>
            <wp:cNvGraphicFramePr>
              <a:graphicFrameLocks noChangeAspect="1"/>
            </wp:cNvGraphicFramePr>
            <a:graphic>
              <a:graphicData uri="http://schemas.openxmlformats.org/drawingml/2006/picture">
                <pic:pic>
                  <pic:nvPicPr>
                    <pic:cNvPr id="0" name="index-126_1.png" descr="index-126_1.png"/>
                    <pic:cNvPicPr/>
                  </pic:nvPicPr>
                  <pic:blipFill>
                    <a:blip r:embed="rId29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89" name="index-126_2.png" descr="index-126_2.png"/>
            <wp:cNvGraphicFramePr>
              <a:graphicFrameLocks noChangeAspect="1"/>
            </wp:cNvGraphicFramePr>
            <a:graphic>
              <a:graphicData uri="http://schemas.openxmlformats.org/drawingml/2006/picture">
                <pic:pic>
                  <pic:nvPicPr>
                    <pic:cNvPr id="0" name="index-126_2.png" descr="index-126_2.png"/>
                    <pic:cNvPicPr/>
                  </pic:nvPicPr>
                  <pic:blipFill>
                    <a:blip r:embed="rId293"/>
                    <a:stretch>
                      <a:fillRect/>
                    </a:stretch>
                  </pic:blipFill>
                  <pic:spPr>
                    <a:xfrm>
                      <a:off x="0" y="0"/>
                      <a:ext cx="914400" cy="444500"/>
                    </a:xfrm>
                    <a:prstGeom prst="rect">
                      <a:avLst/>
                    </a:prstGeom>
                  </pic:spPr>
                </pic:pic>
              </a:graphicData>
            </a:graphic>
          </wp:anchor>
        </w:drawing>
      </w:r>
    </w:p>
    <w:p>
      <w:pPr>
        <w:pStyle w:val="0 Block"/>
      </w:pPr>
    </w:p>
    <w:p>
      <w:bookmarkStart w:id="133" w:name="Chapter_5_2"/>
      <w:pPr>
        <w:pStyle w:val="Heading 1"/>
        <w:pageBreakBefore w:val="on"/>
      </w:pPr>
      <w:r>
        <w:t>Chapter 5</w:t>
      </w:r>
      <w:bookmarkEnd w:id="133"/>
    </w:p>
    <w:p>
      <w:pPr>
        <w:pStyle w:val="Para 25"/>
      </w:pPr>
      <w:r>
        <w:t/>
      </w:r>
    </w:p>
    <w:p>
      <w:pPr>
        <w:pStyle w:val="Para 12"/>
      </w:pPr>
      <w:r>
        <w:t xml:space="preserve">Benefits of a Locked Down Environment </w:t>
      </w:r>
    </w:p>
    <w:p>
      <w:pPr>
        <w:pStyle w:val="Para 25"/>
      </w:pPr>
      <w:r>
        <w:t/>
      </w:r>
    </w:p>
    <w:p>
      <w:pPr>
        <w:pStyle w:val="Normal"/>
      </w:pPr>
      <w:r>
        <w:t xml:space="preserve">Each release of Windows provides more and more restrictive default security settings. The </w:t>
      </w:r>
    </w:p>
    <w:p>
      <w:pPr>
        <w:pStyle w:val="Normal"/>
      </w:pPr>
      <w:r>
        <w:t xml:space="preserve">reason is partly a result of the increasingly common practice of locking down workstations to the </w:t>
      </w:r>
    </w:p>
    <w:p>
      <w:pPr>
        <w:pStyle w:val="Normal"/>
      </w:pPr>
      <w:r>
        <w:t xml:space="preserve">greatest degree possible. One major reason for this practice is because, in business, users need to do their work, get their job done, and that is all. Allowing them to make system-level changes </w:t>
      </w:r>
    </w:p>
    <w:p>
      <w:pPr>
        <w:pStyle w:val="Normal"/>
      </w:pPr>
      <w:r>
        <w:t xml:space="preserve">increases the likelihood of configuration problems, which leads to increased Help desk calls and </w:t>
      </w:r>
    </w:p>
    <w:p>
      <w:pPr>
        <w:pStyle w:val="Normal"/>
      </w:pPr>
      <w:r>
        <w:t xml:space="preserve">user downtime. If users are permitted to install software that might be damaging or violate </w:t>
      </w:r>
    </w:p>
    <w:p>
      <w:pPr>
        <w:pStyle w:val="Normal"/>
      </w:pPr>
      <w:r>
        <w:t xml:space="preserve">licensing agreements, the results could be costly. In recent releases of Windows, you can even restrict specified users from running locally installed software (for more information, see the </w:t>
      </w:r>
    </w:p>
    <w:p>
      <w:pPr>
        <w:pStyle w:val="Normal"/>
      </w:pPr>
      <w:r>
        <w:t xml:space="preserve">sidebar “Software Restriction Policies”). Finally, in regards to user data, limiting where users can </w:t>
      </w:r>
    </w:p>
    <w:p>
      <w:pPr>
        <w:pStyle w:val="Normal"/>
      </w:pPr>
      <w:r>
        <w:t xml:space="preserve">store data will help you to force data storage to a managed area for which fault tolerance and regular backups are available. In this section, we will discuss some of the key benefits to </w:t>
      </w:r>
    </w:p>
    <w:p>
      <w:pPr>
        <w:pStyle w:val="Normal"/>
      </w:pPr>
      <w:r>
        <w:t xml:space="preserve">implementing a locked down desktop environment. </w:t>
      </w:r>
    </w:p>
    <w:p>
      <w:pPr>
        <w:pStyle w:val="Para 25"/>
      </w:pPr>
      <w:r>
        <w:t/>
      </w:r>
    </w:p>
    <w:p>
      <w:pPr>
        <w:pStyle w:val="Para 19"/>
      </w:pPr>
      <w:r>
        <w:t xml:space="preserve">Software Restriction Policies </w:t>
      </w:r>
    </w:p>
    <w:p>
      <w:pPr>
        <w:pStyle w:val="Para 03"/>
      </w:pPr>
      <w:r>
        <w:t xml:space="preserve">Via Group Policy, Software Restriction Policy (SRP) provides the ability to limit which applications can be </w:t>
        <w:t xml:space="preserve">launched on a system. It is the intention of SRP to confront the problem of regulating unknown or </w:t>
        <w:t xml:space="preserve">untrusted code. It does so by allowing administrators to identify and specify which applications are </w:t>
        <w:t xml:space="preserve">allowed to run. The applications can be identified in policy through a hash rule, a certificate rule, a path </w:t>
        <w:t xml:space="preserve">rule, or an Internet zone rule. The software can run on two levels: unrestricted and disallowed. </w:t>
      </w:r>
    </w:p>
    <w:p>
      <w:pPr>
        <w:pStyle w:val="Para 03"/>
      </w:pPr>
      <w:r>
        <w:t xml:space="preserve">Before we go further, let me point out that the use of SRP is restricted to Windows XP and Windows 2003 </w:t>
        <w:t xml:space="preserve">systems. This capability is very useful, but its minimum OS requirements will keep this feature in the </w:t>
        <w:t xml:space="preserve">future for many environments. For those of you lucky enough to be in such an environment (the rest of us </w:t>
        <w:t xml:space="preserve">can use this information as ammunition to push for an upgrade), we will cover this new feature in more </w:t>
        <w:t xml:space="preserve">detail. </w:t>
      </w:r>
    </w:p>
    <w:p>
      <w:pPr>
        <w:pStyle w:val="Para 03"/>
      </w:pPr>
      <w:r>
        <w:t xml:space="preserve">A rule is used to identify one or more software applications and specify whether the application(s) is </w:t>
        <w:t xml:space="preserve">allowed to run. There are four rules that can be used to identify software: </w:t>
      </w:r>
    </w:p>
    <w:p>
      <w:pPr>
        <w:pStyle w:val="Para 03"/>
      </w:pPr>
      <w:r>
        <w:t>•</w:t>
      </w:r>
      <w:r>
        <w:rPr>
          <w:rStyle w:val="Text2"/>
        </w:rPr>
        <w:t xml:space="preserve"> </w:t>
      </w:r>
      <w:r>
        <w:t xml:space="preserve">Hash rule—A hash rule is a cryptographic fingerprint that uniquely identifies a file regardless of </w:t>
        <w:t xml:space="preserve">where it is accessed or what it is named. </w:t>
      </w:r>
    </w:p>
    <w:p>
      <w:pPr>
        <w:pStyle w:val="Para 25"/>
      </w:pPr>
      <w:r>
        <w:t/>
      </w:r>
    </w:p>
    <w:p>
      <w:pPr>
        <w:pStyle w:val="Para 03"/>
      </w:pPr>
      <w:r>
        <w:t>•</w:t>
      </w:r>
      <w:r>
        <w:rPr>
          <w:rStyle w:val="Text2"/>
        </w:rPr>
        <w:t xml:space="preserve"> </w:t>
      </w:r>
      <w:r>
        <w:t xml:space="preserve">Certificate rule—A certificate rule specifies a code-signing, software publisher certificate. </w:t>
      </w:r>
    </w:p>
    <w:p>
      <w:pPr>
        <w:pStyle w:val="Para 03"/>
      </w:pPr>
      <w:r>
        <w:t>•</w:t>
      </w:r>
      <w:r>
        <w:rPr>
          <w:rStyle w:val="Text2"/>
        </w:rPr>
        <w:t xml:space="preserve"> </w:t>
      </w:r>
      <w:r>
        <w:t xml:space="preserve">Path rule—A path rule can specify a folder or fully qualified path to a program. When a path rule </w:t>
      </w:r>
    </w:p>
    <w:p>
      <w:pPr>
        <w:pStyle w:val="Para 03"/>
      </w:pPr>
      <w:r>
        <w:t xml:space="preserve">specifies a folder, it matches any program contained in that folder and any programs contained in </w:t>
        <w:t xml:space="preserve">subfolders. Both local and UNC paths are supported. </w:t>
      </w:r>
    </w:p>
    <w:p>
      <w:pPr>
        <w:pStyle w:val="Para 03"/>
      </w:pPr>
      <w:r>
        <w:t>•</w:t>
      </w:r>
      <w:r>
        <w:rPr>
          <w:rStyle w:val="Text2"/>
        </w:rPr>
        <w:t xml:space="preserve"> </w:t>
      </w:r>
      <w:r>
        <w:t xml:space="preserve">Zone rule—A zone rule can identify software from the Internet Explorer (IE) zone from which it is </w:t>
      </w:r>
    </w:p>
    <w:p>
      <w:pPr>
        <w:pStyle w:val="Para 03"/>
      </w:pPr>
      <w:r>
        <w:t xml:space="preserve">downloaded. This rule applies only to Windows Installer (MSI) packages. It does not apply to software </w:t>
        <w:t xml:space="preserve">downloaded in IE. </w:t>
      </w:r>
    </w:p>
    <w:p>
      <w:pPr>
        <w:pStyle w:val="Para 03"/>
      </w:pPr>
      <w:r>
        <w:t xml:space="preserve">For more information about SRP, read the Microsoft article “Using Software Restriction Policies to Protect </w:t>
        <w:t xml:space="preserve">Against Unauthorized Software.” </w:t>
      </w:r>
    </w:p>
    <w:p>
      <w:pPr>
        <w:pStyle w:val="Para 25"/>
      </w:pPr>
      <w:r>
        <w:t/>
      </w:r>
    </w:p>
    <w:p>
      <w:pPr>
        <w:pStyle w:val="Para 07"/>
      </w:pPr>
      <w:r>
        <w:t xml:space="preserve">Provide Desktop Damage Control </w:t>
      </w:r>
    </w:p>
    <w:p>
      <w:pPr>
        <w:pStyle w:val="Normal"/>
      </w:pPr>
      <w:r>
        <w:t xml:space="preserve">In most environments, allowing users full access to their systems is a practice that results in an </w:t>
      </w:r>
    </w:p>
    <w:p>
      <w:pPr>
        <w:pStyle w:val="Normal"/>
      </w:pPr>
      <w:r>
        <w:t xml:space="preserve">increased number of Help desk calls, license violations, improper use, and data loss. These </w:t>
      </w:r>
    </w:p>
    <w:p>
      <w:pPr>
        <w:pStyle w:val="Normal"/>
      </w:pPr>
      <w:r>
        <w:t xml:space="preserve">results might be accidental or deliberate, but in a locked down environment, users are restricted </w:t>
      </w:r>
    </w:p>
    <w:p>
      <w:pPr>
        <w:pStyle w:val="Normal"/>
      </w:pPr>
      <w:r>
        <w:t xml:space="preserve">from either case: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90" name="index-127_1.png" descr="index-127_1.png"/>
            <wp:cNvGraphicFramePr>
              <a:graphicFrameLocks noChangeAspect="1"/>
            </wp:cNvGraphicFramePr>
            <a:graphic>
              <a:graphicData uri="http://schemas.openxmlformats.org/drawingml/2006/picture">
                <pic:pic>
                  <pic:nvPicPr>
                    <pic:cNvPr id="0" name="index-127_1.png" descr="index-127_1.png"/>
                    <pic:cNvPicPr/>
                  </pic:nvPicPr>
                  <pic:blipFill>
                    <a:blip r:embed="rId29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91" name="index-127_2.png" descr="index-127_2.png"/>
            <wp:cNvGraphicFramePr>
              <a:graphicFrameLocks noChangeAspect="1"/>
            </wp:cNvGraphicFramePr>
            <a:graphic>
              <a:graphicData uri="http://schemas.openxmlformats.org/drawingml/2006/picture">
                <pic:pic>
                  <pic:nvPicPr>
                    <pic:cNvPr id="0" name="index-127_2.png" descr="index-127_2.png"/>
                    <pic:cNvPicPr/>
                  </pic:nvPicPr>
                  <pic:blipFill>
                    <a:blip r:embed="rId295"/>
                    <a:stretch>
                      <a:fillRect/>
                    </a:stretch>
                  </pic:blipFill>
                  <pic:spPr>
                    <a:xfrm>
                      <a:off x="0" y="0"/>
                      <a:ext cx="914400" cy="444500"/>
                    </a:xfrm>
                    <a:prstGeom prst="rect">
                      <a:avLst/>
                    </a:prstGeom>
                  </pic:spPr>
                </pic:pic>
              </a:graphicData>
            </a:graphic>
          </wp:anchor>
        </w:drawing>
      </w:r>
    </w:p>
    <w:p>
      <w:pPr>
        <w:pStyle w:val="0 Block"/>
      </w:pPr>
    </w:p>
    <w:p>
      <w:bookmarkStart w:id="134" w:name="Chapter_5_3"/>
      <w:pPr>
        <w:pStyle w:val="Heading 1"/>
        <w:pageBreakBefore w:val="on"/>
      </w:pPr>
      <w:r>
        <w:t>Chapter 5</w:t>
      </w:r>
      <w:bookmarkEnd w:id="134"/>
    </w:p>
    <w:p>
      <w:pPr>
        <w:pStyle w:val="Para 25"/>
      </w:pPr>
      <w:r>
        <w:t/>
      </w:r>
    </w:p>
    <w:p>
      <w:pPr>
        <w:pStyle w:val="Para 04"/>
      </w:pPr>
      <w:r>
        <w:t xml:space="preserve">• Accidental—Some people just don’t know better—or even worse, they </w:t>
      </w:r>
      <w:r>
        <w:rPr>
          <w:rStyle w:val="Text0"/>
        </w:rPr>
        <w:t xml:space="preserve">think </w:t>
      </w:r>
      <w:r>
        <w:t xml:space="preserve">they do but </w:t>
      </w:r>
    </w:p>
    <w:p>
      <w:pPr>
        <w:pStyle w:val="Para 01"/>
      </w:pPr>
      <w:r>
        <w:t xml:space="preserve">they don’t. It is these users, that know just enough to do some real damage, that should be </w:t>
      </w:r>
    </w:p>
    <w:p>
      <w:pPr>
        <w:pStyle w:val="Para 01"/>
      </w:pPr>
      <w:r>
        <w:t xml:space="preserve">your biggest concern. They may mean well—after all, they have a computer at home they </w:t>
      </w:r>
    </w:p>
    <w:p>
      <w:pPr>
        <w:pStyle w:val="Para 01"/>
      </w:pPr>
      <w:r>
        <w:t xml:space="preserve">tinker with all the time (to which you end up answering endless questions about as well). Restricting users from doing accidental damage to their systems is one of the most </w:t>
      </w:r>
    </w:p>
    <w:p>
      <w:pPr>
        <w:pStyle w:val="Para 01"/>
      </w:pPr>
      <w:r>
        <w:t xml:space="preserve">common reasons for implementing desktop security restrictions. </w:t>
      </w:r>
    </w:p>
    <w:p>
      <w:pPr>
        <w:pStyle w:val="Para 25"/>
      </w:pPr>
      <w:r>
        <w:t/>
      </w:r>
    </w:p>
    <w:p>
      <w:pPr>
        <w:pStyle w:val="Para 04"/>
      </w:pPr>
      <w:r>
        <w:t xml:space="preserve">• </w:t>
        <w:t xml:space="preserve">Deliberate—You might puzzle as to why someone would deliberately do damage to his </w:t>
      </w:r>
    </w:p>
    <w:p>
      <w:pPr>
        <w:pStyle w:val="Para 01"/>
      </w:pPr>
      <w:r>
        <w:t xml:space="preserve">or her system. Hopefully, this damage can be largely attributed to “trying things out” without much care for the consequences. Damage that might be considered deliberate </w:t>
      </w:r>
    </w:p>
    <w:p>
      <w:pPr>
        <w:pStyle w:val="Para 01"/>
      </w:pPr>
      <w:r>
        <w:t xml:space="preserve">includes conscious policy violations such as introducing personal disks to the system. </w:t>
      </w:r>
    </w:p>
    <w:p>
      <w:pPr>
        <w:pStyle w:val="Para 25"/>
      </w:pPr>
      <w:r>
        <w:t/>
      </w:r>
    </w:p>
    <w:p>
      <w:pPr>
        <w:pStyle w:val="Para 07"/>
      </w:pPr>
      <w:r>
        <w:t xml:space="preserve">Prevent Installation of Personal Software </w:t>
      </w:r>
    </w:p>
    <w:p>
      <w:pPr>
        <w:pStyle w:val="Normal"/>
      </w:pPr>
      <w:r>
        <w:t xml:space="preserve">It is natural for users to desire use of software they are familiar with; this often means personal </w:t>
      </w:r>
    </w:p>
    <w:p>
      <w:pPr>
        <w:pStyle w:val="Normal"/>
      </w:pPr>
      <w:r>
        <w:t xml:space="preserve">software from home or from another network on which they do business. If the software they would like to have is not available to them on your network, they might attempt to use their own </w:t>
      </w:r>
    </w:p>
    <w:p>
      <w:pPr>
        <w:pStyle w:val="Normal"/>
      </w:pPr>
      <w:r>
        <w:t xml:space="preserve">copy. Restricting permissions that result in an inability to install software and restricting access </w:t>
      </w:r>
    </w:p>
    <w:p>
      <w:pPr>
        <w:pStyle w:val="Normal"/>
      </w:pPr>
      <w:r>
        <w:t xml:space="preserve">to removable media devices will go a long way to ensuring that this kind of license violation does not occur on your network. </w:t>
      </w:r>
    </w:p>
    <w:p>
      <w:pPr>
        <w:pStyle w:val="Para 25"/>
      </w:pPr>
      <w:r>
        <w:t/>
      </w:r>
    </w:p>
    <w:p>
      <w:pPr>
        <w:pStyle w:val="Para 07"/>
      </w:pPr>
      <w:r>
        <w:t xml:space="preserve">Eliminate Unauthorized Installation of Company Software </w:t>
      </w:r>
    </w:p>
    <w:p>
      <w:pPr>
        <w:pStyle w:val="Normal"/>
      </w:pPr>
      <w:r>
        <w:t xml:space="preserve">Most organizations store copies of software on the network for ease of installation and to ensure </w:t>
      </w:r>
    </w:p>
    <w:p>
      <w:pPr>
        <w:pStyle w:val="Normal"/>
      </w:pPr>
      <w:r>
        <w:t xml:space="preserve">a resilient source for Windows Installer setups. If this share is visible and accessible to </w:t>
      </w:r>
    </w:p>
    <w:p>
      <w:pPr>
        <w:pStyle w:val="Normal"/>
      </w:pPr>
      <w:r>
        <w:t xml:space="preserve">unauthorized users, they might ignorantly think that it is okay to install. At the very least, they do not have to obtain the software or get it on the network—it is right there calling to them. Keeping </w:t>
      </w:r>
    </w:p>
    <w:p>
      <w:pPr>
        <w:pStyle w:val="Normal"/>
      </w:pPr>
      <w:r>
        <w:t xml:space="preserve">installation media locked away in hidden shares or in locations restricted to those with access </w:t>
      </w:r>
    </w:p>
    <w:p>
      <w:pPr>
        <w:pStyle w:val="Normal"/>
      </w:pPr>
      <w:r>
        <w:t xml:space="preserve">will greatly reduce the violations that come with unknown installations of software to which you </w:t>
      </w:r>
    </w:p>
    <w:p>
      <w:pPr>
        <w:pStyle w:val="Normal"/>
      </w:pPr>
      <w:r>
        <w:t xml:space="preserve">have a limited number of licenses. </w:t>
      </w:r>
    </w:p>
    <w:p>
      <w:pPr>
        <w:pStyle w:val="Para 25"/>
      </w:pPr>
      <w:r>
        <w:t/>
      </w:r>
    </w:p>
    <w:p>
      <w:pPr>
        <w:pStyle w:val="Para 02"/>
      </w:pPr>
      <w:r>
        <w:t xml:space="preserve">Particularly when users have direct access to the Internet, restricting their ability to install software is </w:t>
      </w:r>
    </w:p>
    <w:p>
      <w:pPr>
        <w:pStyle w:val="Para 02"/>
      </w:pPr>
      <w:r>
        <w:t xml:space="preserve">a critical first step in maintaining control of your systems. </w:t>
      </w:r>
    </w:p>
    <w:p>
      <w:pPr>
        <w:pStyle w:val="Para 25"/>
      </w:pPr>
      <w:r>
        <w:t/>
      </w:r>
    </w:p>
    <w:p>
      <w:pPr>
        <w:pStyle w:val="Para 07"/>
      </w:pPr>
      <w:r>
        <w:t xml:space="preserve">Stop Software Theft </w:t>
      </w:r>
    </w:p>
    <w:p>
      <w:pPr>
        <w:pStyle w:val="Normal"/>
      </w:pPr>
      <w:r>
        <w:t xml:space="preserve">Does your organization have a network share that contains setup files? Is there a software cabinet </w:t>
      </w:r>
    </w:p>
    <w:p>
      <w:pPr>
        <w:pStyle w:val="Normal"/>
      </w:pPr>
      <w:r>
        <w:t xml:space="preserve">to which users have access? Although most users are not likely to steal company-owned </w:t>
      </w:r>
    </w:p>
    <w:p>
      <w:pPr>
        <w:pStyle w:val="Normal"/>
      </w:pPr>
      <w:r>
        <w:t xml:space="preserve">software, a much greater number do not have much problem borrowing software to install at home. They might install it on their personal computer and return the software or (even worse) </w:t>
      </w:r>
    </w:p>
    <w:p>
      <w:pPr>
        <w:pStyle w:val="Normal"/>
      </w:pPr>
      <w:r>
        <w:t xml:space="preserve">make a copy of the software to bring home and possibly share with others. Restricting access to </w:t>
      </w:r>
    </w:p>
    <w:p>
      <w:pPr>
        <w:pStyle w:val="Normal"/>
      </w:pPr>
      <w:r>
        <w:t xml:space="preserve">installation media and removable storage will make such actions more difficult. With any luck, the added effort required to “borrow” software will further remind users that they should not be </w:t>
      </w:r>
    </w:p>
    <w:p>
      <w:pPr>
        <w:pStyle w:val="Normal"/>
      </w:pPr>
      <w:r>
        <w:t xml:space="preserve">doing so in the first place.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92" name="index-128_1.png" descr="index-128_1.png"/>
            <wp:cNvGraphicFramePr>
              <a:graphicFrameLocks noChangeAspect="1"/>
            </wp:cNvGraphicFramePr>
            <a:graphic>
              <a:graphicData uri="http://schemas.openxmlformats.org/drawingml/2006/picture">
                <pic:pic>
                  <pic:nvPicPr>
                    <pic:cNvPr id="0" name="index-128_1.png" descr="index-128_1.png"/>
                    <pic:cNvPicPr/>
                  </pic:nvPicPr>
                  <pic:blipFill>
                    <a:blip r:embed="rId29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93" name="index-128_2.png" descr="index-128_2.png"/>
            <wp:cNvGraphicFramePr>
              <a:graphicFrameLocks noChangeAspect="1"/>
            </wp:cNvGraphicFramePr>
            <a:graphic>
              <a:graphicData uri="http://schemas.openxmlformats.org/drawingml/2006/picture">
                <pic:pic>
                  <pic:nvPicPr>
                    <pic:cNvPr id="0" name="index-128_2.png" descr="index-128_2.png"/>
                    <pic:cNvPicPr/>
                  </pic:nvPicPr>
                  <pic:blipFill>
                    <a:blip r:embed="rId297"/>
                    <a:stretch>
                      <a:fillRect/>
                    </a:stretch>
                  </pic:blipFill>
                  <pic:spPr>
                    <a:xfrm>
                      <a:off x="0" y="0"/>
                      <a:ext cx="914400" cy="444500"/>
                    </a:xfrm>
                    <a:prstGeom prst="rect">
                      <a:avLst/>
                    </a:prstGeom>
                  </pic:spPr>
                </pic:pic>
              </a:graphicData>
            </a:graphic>
          </wp:anchor>
        </w:drawing>
      </w:r>
    </w:p>
    <w:p>
      <w:pPr>
        <w:pStyle w:val="0 Block"/>
      </w:pPr>
    </w:p>
    <w:p>
      <w:bookmarkStart w:id="135" w:name="Chapter_5_4"/>
      <w:pPr>
        <w:pStyle w:val="Heading 1"/>
        <w:pageBreakBefore w:val="on"/>
      </w:pPr>
      <w:r>
        <w:t>Chapter 5</w:t>
      </w:r>
      <w:bookmarkEnd w:id="135"/>
    </w:p>
    <w:p>
      <w:pPr>
        <w:pStyle w:val="Para 25"/>
      </w:pPr>
      <w:r>
        <w:t/>
      </w:r>
    </w:p>
    <w:p>
      <w:pPr>
        <w:pStyle w:val="Para 07"/>
      </w:pPr>
      <w:r>
        <w:t xml:space="preserve">Enforce Proper Usage </w:t>
      </w:r>
    </w:p>
    <w:p>
      <w:pPr>
        <w:pStyle w:val="Normal"/>
      </w:pPr>
      <w:r>
        <w:t xml:space="preserve">An organization’s computers and networks are business assets available to conduct business. </w:t>
      </w:r>
    </w:p>
    <w:p>
      <w:pPr>
        <w:pStyle w:val="Normal"/>
      </w:pPr>
      <w:r>
        <w:t>Playing games and conducting other personal business on these assets and on company time is</w:t>
      </w:r>
    </w:p>
    <w:p>
      <w:pPr>
        <w:pStyle w:val="Normal"/>
      </w:pPr>
      <w:r>
        <w:t xml:space="preserve">usually more than discouraged—it might even be illegal: </w:t>
      </w:r>
    </w:p>
    <w:p>
      <w:pPr>
        <w:pStyle w:val="Para 25"/>
      </w:pPr>
      <w:r>
        <w:t/>
      </w:r>
    </w:p>
    <w:p>
      <w:pPr>
        <w:pStyle w:val="Para 09"/>
      </w:pPr>
      <w:r>
        <w:t xml:space="preserve">Playing Games “On the Clock” </w:t>
      </w:r>
    </w:p>
    <w:p>
      <w:pPr>
        <w:pStyle w:val="Para 25"/>
      </w:pPr>
      <w:r>
        <w:t/>
      </w:r>
    </w:p>
    <w:p>
      <w:pPr>
        <w:pStyle w:val="Normal"/>
      </w:pPr>
      <w:r>
        <w:t xml:space="preserve">It might seem obvious that if your boss catches you playing Solitaire, it would probably be </w:t>
      </w:r>
    </w:p>
    <w:p>
      <w:pPr>
        <w:pStyle w:val="Normal"/>
      </w:pPr>
      <w:r>
        <w:t xml:space="preserve">frowned upon. However, if it was installed as part of the workstation baseline, frowned upon </w:t>
      </w:r>
    </w:p>
    <w:p>
      <w:pPr>
        <w:pStyle w:val="Normal"/>
      </w:pPr>
      <w:r>
        <w:t xml:space="preserve">may be as far as it would go. However, if you get caught playing a first person shooter game you bought at the store last week, you can probably expect to be in a bit more trouble. Again, this all </w:t>
      </w:r>
    </w:p>
    <w:p>
      <w:pPr>
        <w:pStyle w:val="Normal"/>
      </w:pPr>
      <w:r>
        <w:t xml:space="preserve">comes back to your security policy, but disallowing use of unauthorized software is among the </w:t>
      </w:r>
    </w:p>
    <w:p>
      <w:pPr>
        <w:pStyle w:val="Normal"/>
      </w:pPr>
      <w:r>
        <w:t xml:space="preserve">most obvious such policies. Again, the most direct method of restricting such activity is limitations on system access and the use of removable media. Taking it a step further, software </w:t>
      </w:r>
    </w:p>
    <w:p>
      <w:pPr>
        <w:pStyle w:val="Normal"/>
      </w:pPr>
      <w:r>
        <w:t xml:space="preserve">inventory or metering software can also play a role in identifying and taking action on such </w:t>
      </w:r>
    </w:p>
    <w:p>
      <w:pPr>
        <w:pStyle w:val="Normal"/>
      </w:pPr>
      <w:r>
        <w:t xml:space="preserve">violations. </w:t>
      </w:r>
    </w:p>
    <w:p>
      <w:pPr>
        <w:pStyle w:val="Para 25"/>
      </w:pPr>
      <w:r>
        <w:t/>
      </w:r>
    </w:p>
    <w:p>
      <w:pPr>
        <w:pStyle w:val="Para 09"/>
      </w:pPr>
      <w:r>
        <w:t xml:space="preserve">Conducting Personal Business </w:t>
      </w:r>
    </w:p>
    <w:p>
      <w:pPr>
        <w:pStyle w:val="Para 25"/>
      </w:pPr>
      <w:r>
        <w:t/>
      </w:r>
    </w:p>
    <w:p>
      <w:pPr>
        <w:pStyle w:val="Normal"/>
      </w:pPr>
      <w:r>
        <w:t xml:space="preserve">Most organizations do not look kindly on employees making fliers for next weekend’s cookout, </w:t>
      </w:r>
    </w:p>
    <w:p>
      <w:pPr>
        <w:pStyle w:val="Normal"/>
      </w:pPr>
      <w:r>
        <w:t xml:space="preserve">writing long letters to Grandma, or bidding on Star Trek memorabilia on eBay. Although </w:t>
      </w:r>
    </w:p>
    <w:p>
      <w:pPr>
        <w:pStyle w:val="Normal"/>
      </w:pPr>
      <w:r>
        <w:t xml:space="preserve">restrictions on such behavior are commonly enforced through casual observation, restricting access to certain Web sites (including Web mail services) is not uncommon. </w:t>
      </w:r>
    </w:p>
    <w:p>
      <w:pPr>
        <w:pStyle w:val="Para 25"/>
      </w:pPr>
      <w:r>
        <w:t/>
      </w:r>
    </w:p>
    <w:p>
      <w:pPr>
        <w:pStyle w:val="Para 09"/>
      </w:pPr>
      <w:r>
        <w:t xml:space="preserve">Conducting Illegal Activities </w:t>
      </w:r>
    </w:p>
    <w:p>
      <w:pPr>
        <w:pStyle w:val="Para 25"/>
      </w:pPr>
      <w:r>
        <w:t/>
      </w:r>
    </w:p>
    <w:p>
      <w:pPr>
        <w:pStyle w:val="Normal"/>
      </w:pPr>
      <w:r>
        <w:t xml:space="preserve">When you think of illegal activities, you’re probably thinking pornography—and you are right. Unfortunately, you hear about this kind of thing way too often and almost everyone knows a </w:t>
      </w:r>
    </w:p>
    <w:p>
      <w:pPr>
        <w:pStyle w:val="Normal"/>
      </w:pPr>
      <w:r>
        <w:t xml:space="preserve">story of some kind relating to someone downloading porn at work. Although it is almost a given </w:t>
      </w:r>
    </w:p>
    <w:p>
      <w:pPr>
        <w:pStyle w:val="Normal"/>
      </w:pPr>
      <w:r>
        <w:t xml:space="preserve">that you would be deleting the users account soon after getting caught, the organization itself </w:t>
      </w:r>
    </w:p>
    <w:p>
      <w:pPr>
        <w:pStyle w:val="Normal"/>
      </w:pPr>
      <w:r>
        <w:t>might be liable as well, making this matter very serious. In addition, illegal MP3 files and online gambling services are possible causes for concern in the workplace. Software metering, software</w:t>
      </w:r>
    </w:p>
    <w:p>
      <w:pPr>
        <w:pStyle w:val="Normal"/>
      </w:pPr>
      <w:r>
        <w:t xml:space="preserve">inventory, and periodic system scans are common practices to identify such problems. </w:t>
      </w:r>
    </w:p>
    <w:p>
      <w:pPr>
        <w:pStyle w:val="Para 25"/>
      </w:pPr>
      <w:r>
        <w:t/>
      </w:r>
    </w:p>
    <w:p>
      <w:pPr>
        <w:pStyle w:val="Para 07"/>
      </w:pPr>
      <w:r>
        <w:t xml:space="preserve">Decrease Proliferation of Viruses </w:t>
      </w:r>
    </w:p>
    <w:p>
      <w:pPr>
        <w:pStyle w:val="Normal"/>
      </w:pPr>
      <w:r>
        <w:t xml:space="preserve">Though most environments employ a written policy restricting the use of removable media (floppy disks, CD-ROMs, DVDs, zip disks, and other magnetic and optical formats) it is one of </w:t>
      </w:r>
    </w:p>
    <w:p>
      <w:pPr>
        <w:pStyle w:val="Normal"/>
      </w:pPr>
      <w:r>
        <w:t xml:space="preserve">the most casually violated security policies. In addition to the options available in restricting </w:t>
      </w:r>
    </w:p>
    <w:p>
      <w:pPr>
        <w:pStyle w:val="Normal"/>
      </w:pPr>
      <w:r>
        <w:t xml:space="preserve">access to such devices, a locked down system will limit this kind of proliferation (and in some </w:t>
      </w:r>
    </w:p>
    <w:p>
      <w:pPr>
        <w:pStyle w:val="Normal"/>
      </w:pPr>
      <w:r>
        <w:t xml:space="preserve">cases the damage) that a virus will be able to accomplish. Of course, this problem does not end here—you must also remember to address the Internet and email attachments as common </w:t>
      </w:r>
    </w:p>
    <w:p>
      <w:pPr>
        <w:pStyle w:val="Normal"/>
      </w:pPr>
      <w:r>
        <w:t xml:space="preserve">methods for viruses to infiltrate your network.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94" name="index-129_1.png" descr="index-129_1.png"/>
            <wp:cNvGraphicFramePr>
              <a:graphicFrameLocks noChangeAspect="1"/>
            </wp:cNvGraphicFramePr>
            <a:graphic>
              <a:graphicData uri="http://schemas.openxmlformats.org/drawingml/2006/picture">
                <pic:pic>
                  <pic:nvPicPr>
                    <pic:cNvPr id="0" name="index-129_1.png" descr="index-129_1.png"/>
                    <pic:cNvPicPr/>
                  </pic:nvPicPr>
                  <pic:blipFill>
                    <a:blip r:embed="rId29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95" name="index-129_2.png" descr="index-129_2.png"/>
            <wp:cNvGraphicFramePr>
              <a:graphicFrameLocks noChangeAspect="1"/>
            </wp:cNvGraphicFramePr>
            <a:graphic>
              <a:graphicData uri="http://schemas.openxmlformats.org/drawingml/2006/picture">
                <pic:pic>
                  <pic:nvPicPr>
                    <pic:cNvPr id="0" name="index-129_2.png" descr="index-129_2.png"/>
                    <pic:cNvPicPr/>
                  </pic:nvPicPr>
                  <pic:blipFill>
                    <a:blip r:embed="rId299"/>
                    <a:stretch>
                      <a:fillRect/>
                    </a:stretch>
                  </pic:blipFill>
                  <pic:spPr>
                    <a:xfrm>
                      <a:off x="0" y="0"/>
                      <a:ext cx="914400" cy="444500"/>
                    </a:xfrm>
                    <a:prstGeom prst="rect">
                      <a:avLst/>
                    </a:prstGeom>
                  </pic:spPr>
                </pic:pic>
              </a:graphicData>
            </a:graphic>
          </wp:anchor>
        </w:drawing>
      </w:r>
    </w:p>
    <w:p>
      <w:pPr>
        <w:pStyle w:val="0 Block"/>
      </w:pPr>
    </w:p>
    <w:p>
      <w:bookmarkStart w:id="136" w:name="Chapter_5_5"/>
      <w:pPr>
        <w:pStyle w:val="Heading 1"/>
        <w:pageBreakBefore w:val="on"/>
      </w:pPr>
      <w:r>
        <w:t>Chapter 5</w:t>
      </w:r>
      <w:bookmarkEnd w:id="136"/>
    </w:p>
    <w:p>
      <w:pPr>
        <w:pStyle w:val="Para 25"/>
      </w:pPr>
      <w:r>
        <w:t/>
      </w:r>
    </w:p>
    <w:p>
      <w:pPr>
        <w:pStyle w:val="Para 09"/>
      </w:pPr>
      <w:r>
        <w:t xml:space="preserve">Principal of Least Privilege </w:t>
      </w:r>
    </w:p>
    <w:p>
      <w:pPr>
        <w:pStyle w:val="Para 25"/>
      </w:pPr>
      <w:r>
        <w:t/>
      </w:r>
    </w:p>
    <w:p>
      <w:pPr>
        <w:pStyle w:val="Normal"/>
      </w:pPr>
      <w:r>
        <w:t xml:space="preserve">As an administrator (or a user with permissions), a virus has an easier time damaging systems in </w:t>
      </w:r>
    </w:p>
    <w:p>
      <w:pPr>
        <w:pStyle w:val="Normal"/>
      </w:pPr>
      <w:r>
        <w:t xml:space="preserve">the user context in which it is executed, both locally and on remote networked systems. An administrator who uses their admin account to process email and download software provides a </w:t>
      </w:r>
    </w:p>
    <w:p>
      <w:pPr>
        <w:pStyle w:val="Normal"/>
      </w:pPr>
      <w:r>
        <w:t xml:space="preserve">much bigger risk to the network than that of someone with non-admin access. For this reason, it </w:t>
      </w:r>
    </w:p>
    <w:p>
      <w:pPr>
        <w:pStyle w:val="Normal"/>
      </w:pPr>
      <w:r>
        <w:t xml:space="preserve">is common for administrators to have two accounts—the admin account should be used strictly for administration, while their non-admin account can be used for day-to-day work such as </w:t>
      </w:r>
    </w:p>
    <w:p>
      <w:pPr>
        <w:pStyle w:val="Normal"/>
      </w:pPr>
      <w:r>
        <w:t xml:space="preserve">reading and responding to email and browsing the Web. </w:t>
      </w:r>
    </w:p>
    <w:p>
      <w:pPr>
        <w:pStyle w:val="Para 25"/>
      </w:pPr>
      <w:r>
        <w:t/>
      </w:r>
    </w:p>
    <w:p>
      <w:pPr>
        <w:pStyle w:val="Para 07"/>
      </w:pPr>
      <w:r>
        <w:t xml:space="preserve">Protect Data </w:t>
      </w:r>
    </w:p>
    <w:p>
      <w:pPr>
        <w:pStyle w:val="Normal"/>
      </w:pPr>
      <w:r>
        <w:t xml:space="preserve">When users store data on their local systems, it is often not managed and is therefore more likely </w:t>
      </w:r>
    </w:p>
    <w:p>
      <w:pPr>
        <w:pStyle w:val="Normal"/>
      </w:pPr>
      <w:r>
        <w:t xml:space="preserve">to be lost. Network shares may be hosted on fault-tolerant drive arrays (protecting it from hardware failure) and backed up on a scheduled basis (protecting it from corruption or deletion). </w:t>
      </w:r>
    </w:p>
    <w:p>
      <w:pPr>
        <w:pStyle w:val="Normal"/>
      </w:pPr>
      <w:r>
        <w:t xml:space="preserve">In addition to ensuring a desirable default location for applications to save their data, restricting a </w:t>
      </w:r>
    </w:p>
    <w:p>
      <w:pPr>
        <w:pStyle w:val="Normal"/>
      </w:pPr>
      <w:r>
        <w:t xml:space="preserve">users’ ability to save data locally will further direct users to a managed location. </w:t>
      </w:r>
    </w:p>
    <w:p>
      <w:pPr>
        <w:pStyle w:val="Para 25"/>
      </w:pPr>
      <w:r>
        <w:t/>
      </w:r>
    </w:p>
    <w:p>
      <w:pPr>
        <w:pStyle w:val="Para 12"/>
      </w:pPr>
      <w:r>
        <w:t xml:space="preserve">Drawbacks of a Locked Down Environment </w:t>
      </w:r>
    </w:p>
    <w:p>
      <w:pPr>
        <w:pStyle w:val="Para 25"/>
      </w:pPr>
      <w:r>
        <w:t/>
      </w:r>
    </w:p>
    <w:p>
      <w:pPr>
        <w:pStyle w:val="Normal"/>
      </w:pPr>
      <w:r>
        <w:t xml:space="preserve">As with so many things, although there are many benefits to be gained from a locked down environment, there are also drawbacks. Locking down a desktop environment can result in an </w:t>
      </w:r>
    </w:p>
    <w:p>
      <w:pPr>
        <w:pStyle w:val="Normal"/>
      </w:pPr>
      <w:r>
        <w:t xml:space="preserve">environment in which a user cannot operate needed software or perform business-critical tasks. </w:t>
      </w:r>
    </w:p>
    <w:p>
      <w:pPr>
        <w:pStyle w:val="Normal"/>
      </w:pPr>
      <w:r>
        <w:t xml:space="preserve">Locked down environments make software deployment and automation more difficult and in the end requires additional (and more thorough) testing to be performed. In this section, we will </w:t>
      </w:r>
    </w:p>
    <w:p>
      <w:pPr>
        <w:pStyle w:val="Normal"/>
      </w:pPr>
      <w:r>
        <w:t xml:space="preserve">discuss some of the drawbacks that weigh in the decision to implement a locked down desktop </w:t>
      </w:r>
    </w:p>
    <w:p>
      <w:pPr>
        <w:pStyle w:val="Normal"/>
      </w:pPr>
      <w:r>
        <w:t xml:space="preserve">environment. </w:t>
      </w:r>
    </w:p>
    <w:p>
      <w:pPr>
        <w:pStyle w:val="Para 25"/>
      </w:pPr>
      <w:r>
        <w:t/>
      </w:r>
    </w:p>
    <w:p>
      <w:pPr>
        <w:pStyle w:val="Para 07"/>
      </w:pPr>
      <w:r>
        <w:t xml:space="preserve">Application Failures </w:t>
      </w:r>
    </w:p>
    <w:p>
      <w:pPr>
        <w:pStyle w:val="Normal"/>
      </w:pPr>
      <w:r>
        <w:t xml:space="preserve">As a result of the increased security restrictions that come with Win2K and Windows XP right out of the box, software developers are more conscious of performing actions without regard for </w:t>
      </w:r>
    </w:p>
    <w:p>
      <w:pPr>
        <w:pStyle w:val="Normal"/>
      </w:pPr>
      <w:r>
        <w:t xml:space="preserve">user access. Applications that write to the HKEY_LOCAL_MACHINE area of a system (outside </w:t>
      </w:r>
    </w:p>
    <w:p>
      <w:pPr>
        <w:pStyle w:val="Normal"/>
      </w:pPr>
      <w:r>
        <w:t xml:space="preserve">the actual installation of the application) are one example of a problem that you are far less likely </w:t>
      </w:r>
    </w:p>
    <w:p>
      <w:pPr>
        <w:pStyle w:val="Normal"/>
      </w:pPr>
      <w:r>
        <w:t xml:space="preserve">to encounter today. However, there are still many applications that attempt to create and modify files outside of the user profile, where users may have restricted access. An application </w:t>
      </w:r>
    </w:p>
    <w:p>
      <w:pPr>
        <w:pStyle w:val="Normal"/>
      </w:pPr>
      <w:r>
        <w:t xml:space="preserve">dependant upon writing to a user restricted area will often result in some sort of error or </w:t>
      </w:r>
    </w:p>
    <w:p>
      <w:pPr>
        <w:pStyle w:val="Normal"/>
      </w:pPr>
      <w:r>
        <w:t xml:space="preserve">unexpected behavior, as Figure 5.1 shows.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12900" cy="762000"/>
            <wp:effectExtent l="0" r="0" t="0" b="0"/>
            <wp:wrapTopAndBottom/>
            <wp:docPr id="296" name="index-130_1.png" descr="index-130_1.png"/>
            <wp:cNvGraphicFramePr>
              <a:graphicFrameLocks noChangeAspect="1"/>
            </wp:cNvGraphicFramePr>
            <a:graphic>
              <a:graphicData uri="http://schemas.openxmlformats.org/drawingml/2006/picture">
                <pic:pic>
                  <pic:nvPicPr>
                    <pic:cNvPr id="0" name="index-130_1.png" descr="index-130_1.png"/>
                    <pic:cNvPicPr/>
                  </pic:nvPicPr>
                  <pic:blipFill>
                    <a:blip r:embed="rId300"/>
                    <a:stretch>
                      <a:fillRect/>
                    </a:stretch>
                  </pic:blipFill>
                  <pic:spPr>
                    <a:xfrm>
                      <a:off x="0" y="0"/>
                      <a:ext cx="1612900" cy="762000"/>
                    </a:xfrm>
                    <a:prstGeom prst="rect">
                      <a:avLst/>
                    </a:prstGeom>
                  </pic:spPr>
                </pic:pic>
              </a:graphicData>
            </a:graphic>
          </wp:anchor>
        </w:drawing>
      </w:r>
    </w:p>
    <w:p>
      <w:pPr>
        <w:pStyle w:val="Para 25"/>
      </w:pPr>
      <w:r>
        <w:t/>
      </w:r>
    </w:p>
    <w:p>
      <w:pPr>
        <w:pStyle w:val="Para 36"/>
      </w:pPr>
      <w:r>
        <w:t xml:space="preserve"> </w:t>
      </w:r>
    </w:p>
    <w:p>
      <w:pPr>
        <w:pStyle w:val="Para 25"/>
      </w:pPr>
      <w:r>
        <w:t/>
      </w:r>
    </w:p>
    <w:p>
      <w:pPr>
        <w:pStyle w:val="Para 10"/>
      </w:pPr>
      <w:r>
        <w:t xml:space="preserve">Figure 5.1: A typical error dialog box seen as a result of restrictive access control list settings.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97" name="index-130_2.png" descr="index-130_2.png"/>
            <wp:cNvGraphicFramePr>
              <a:graphicFrameLocks noChangeAspect="1"/>
            </wp:cNvGraphicFramePr>
            <a:graphic>
              <a:graphicData uri="http://schemas.openxmlformats.org/drawingml/2006/picture">
                <pic:pic>
                  <pic:nvPicPr>
                    <pic:cNvPr id="0" name="index-130_2.png" descr="index-130_2.png"/>
                    <pic:cNvPicPr/>
                  </pic:nvPicPr>
                  <pic:blipFill>
                    <a:blip r:embed="rId30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298" name="index-130_3.png" descr="index-130_3.png"/>
            <wp:cNvGraphicFramePr>
              <a:graphicFrameLocks noChangeAspect="1"/>
            </wp:cNvGraphicFramePr>
            <a:graphic>
              <a:graphicData uri="http://schemas.openxmlformats.org/drawingml/2006/picture">
                <pic:pic>
                  <pic:nvPicPr>
                    <pic:cNvPr id="0" name="index-130_3.png" descr="index-130_3.png"/>
                    <pic:cNvPicPr/>
                  </pic:nvPicPr>
                  <pic:blipFill>
                    <a:blip r:embed="rId302"/>
                    <a:stretch>
                      <a:fillRect/>
                    </a:stretch>
                  </pic:blipFill>
                  <pic:spPr>
                    <a:xfrm>
                      <a:off x="0" y="0"/>
                      <a:ext cx="914400" cy="444500"/>
                    </a:xfrm>
                    <a:prstGeom prst="rect">
                      <a:avLst/>
                    </a:prstGeom>
                  </pic:spPr>
                </pic:pic>
              </a:graphicData>
            </a:graphic>
          </wp:anchor>
        </w:drawing>
      </w:r>
    </w:p>
    <w:p>
      <w:pPr>
        <w:pStyle w:val="0 Block"/>
      </w:pPr>
    </w:p>
    <w:p>
      <w:bookmarkStart w:id="137" w:name="Chapter_5_6"/>
      <w:pPr>
        <w:pStyle w:val="Heading 1"/>
        <w:pageBreakBefore w:val="on"/>
      </w:pPr>
      <w:r>
        <w:t>Chapter 5</w:t>
      </w:r>
      <w:bookmarkEnd w:id="137"/>
    </w:p>
    <w:p>
      <w:pPr>
        <w:pStyle w:val="Para 25"/>
      </w:pPr>
      <w:r>
        <w:t/>
      </w:r>
    </w:p>
    <w:p>
      <w:pPr>
        <w:pStyle w:val="Para 07"/>
      </w:pPr>
      <w:r>
        <w:t xml:space="preserve">Failure to Save Settings </w:t>
      </w:r>
    </w:p>
    <w:p>
      <w:pPr>
        <w:pStyle w:val="Normal"/>
      </w:pPr>
      <w:r>
        <w:t xml:space="preserve">Some applications attempt to save settings made by a user to a data file instead of the preferred </w:t>
      </w:r>
    </w:p>
    <w:p>
      <w:pPr>
        <w:pStyle w:val="Normal"/>
      </w:pPr>
      <w:r>
        <w:t xml:space="preserve">HKEY_CURRENT_USER hive of the registry. Particularly common in older applications, such </w:t>
      </w:r>
    </w:p>
    <w:p>
      <w:pPr>
        <w:pStyle w:val="Normal"/>
      </w:pPr>
      <w:r>
        <w:t xml:space="preserve">a practice may result in an error when changing preferences or exiting the application (or at </w:t>
      </w:r>
    </w:p>
    <w:p>
      <w:pPr>
        <w:pStyle w:val="Normal"/>
      </w:pPr>
      <w:r>
        <w:t xml:space="preserve">whatever point the application attempts to record these settings for future use). Quite often there will be no visible error—the settings will simply fail to be saved. </w:t>
      </w:r>
    </w:p>
    <w:p>
      <w:pPr>
        <w:pStyle w:val="Para 25"/>
      </w:pPr>
      <w:r>
        <w:t/>
      </w:r>
    </w:p>
    <w:p>
      <w:pPr>
        <w:pStyle w:val="Para 02"/>
      </w:pPr>
      <w:r>
        <w:t xml:space="preserve">I have encountered this failure to save settings several times, but I particularly recall this problem </w:t>
      </w:r>
    </w:p>
    <w:p>
      <w:pPr>
        <w:pStyle w:val="Para 02"/>
      </w:pPr>
      <w:r>
        <w:t xml:space="preserve">when I was deploying Microsoft FrontPage 98 in a locked down environment. The installation went </w:t>
      </w:r>
    </w:p>
    <w:p>
      <w:pPr>
        <w:pStyle w:val="Para 02"/>
      </w:pPr>
      <w:r>
        <w:t xml:space="preserve">fine and, not being a user of the application, I did not realize that the application was failing to save its </w:t>
      </w:r>
    </w:p>
    <w:p>
      <w:pPr>
        <w:pStyle w:val="Para 02"/>
      </w:pPr>
      <w:r>
        <w:t xml:space="preserve">settings. The silent failure to do so was the result of the users’ inability to generate two INI files used </w:t>
      </w:r>
    </w:p>
    <w:p>
      <w:pPr>
        <w:pStyle w:val="Para 02"/>
      </w:pPr>
      <w:r>
        <w:t xml:space="preserve">to store the settings. The files were to be created by the application on first use, and were then to be </w:t>
      </w:r>
    </w:p>
    <w:p>
      <w:pPr>
        <w:pStyle w:val="Para 02"/>
      </w:pPr>
      <w:r>
        <w:t xml:space="preserve">updated with specified settings as required. Of course, I was following the advice of this book’s </w:t>
      </w:r>
    </w:p>
    <w:p>
      <w:pPr>
        <w:pStyle w:val="Para 02"/>
      </w:pPr>
      <w:r>
        <w:t xml:space="preserve">previous chapter, and quickly discovered this problem in the application testing phase of the package </w:t>
      </w:r>
    </w:p>
    <w:p>
      <w:pPr>
        <w:pStyle w:val="Para 02"/>
      </w:pPr>
      <w:r>
        <w:t xml:space="preserve">development. The fix was to simply add these two files to the installation package and allow users </w:t>
      </w:r>
    </w:p>
    <w:p>
      <w:pPr>
        <w:pStyle w:val="Para 02"/>
      </w:pPr>
      <w:r>
        <w:t xml:space="preserve">Change access to the files as part of the deployment. </w:t>
      </w:r>
    </w:p>
    <w:p>
      <w:pPr>
        <w:pStyle w:val="Para 25"/>
      </w:pPr>
      <w:r>
        <w:t/>
      </w:r>
    </w:p>
    <w:p>
      <w:pPr>
        <w:pStyle w:val="Para 07"/>
      </w:pPr>
      <w:r>
        <w:t xml:space="preserve">Failures When Saving Data </w:t>
      </w:r>
    </w:p>
    <w:p>
      <w:pPr>
        <w:pStyle w:val="Normal"/>
      </w:pPr>
      <w:r>
        <w:t xml:space="preserve">A surprising number of applications actually require a fixed local path to create or modify data files. A directory created right off the root of the drive or a subfolder of the program’s </w:t>
      </w:r>
    </w:p>
    <w:p>
      <w:pPr>
        <w:pStyle w:val="Normal"/>
      </w:pPr>
      <w:r>
        <w:t xml:space="preserve">installation directory are not uncommon “working” directories for many applications. The </w:t>
      </w:r>
    </w:p>
    <w:p>
      <w:pPr>
        <w:pStyle w:val="Normal"/>
      </w:pPr>
      <w:r>
        <w:t xml:space="preserve">application may launch and function normally, but when actually working with it to modify or create data, failures may occur. Obviously if you are able to specify a working directory, you </w:t>
      </w:r>
    </w:p>
    <w:p>
      <w:pPr>
        <w:pStyle w:val="Normal"/>
      </w:pPr>
      <w:r>
        <w:t xml:space="preserve">may specify an area to which users have necessary access. If the problem is a hard-coded default </w:t>
      </w:r>
    </w:p>
    <w:p>
      <w:pPr>
        <w:pStyle w:val="Normal"/>
      </w:pPr>
      <w:r>
        <w:t xml:space="preserve">directory, the simple inability for users to save their work may force them to save to a proper </w:t>
      </w:r>
    </w:p>
    <w:p>
      <w:pPr>
        <w:pStyle w:val="Normal"/>
      </w:pPr>
      <w:r>
        <w:t xml:space="preserve">location or it may cause them to loose their work. This situation again shows why actual application use (in the security context of a user and not as an administrator) is a critical step in </w:t>
      </w:r>
    </w:p>
    <w:p>
      <w:pPr>
        <w:pStyle w:val="Normal"/>
      </w:pPr>
      <w:r>
        <w:t xml:space="preserve">the package development and deployment process. When a hard-coded working or data directory </w:t>
      </w:r>
    </w:p>
    <w:p>
      <w:pPr>
        <w:pStyle w:val="Normal"/>
      </w:pPr>
      <w:r>
        <w:t xml:space="preserve">is required by an application, the decision to allow access to the directory may be one forced on you as a deployment requirement. </w:t>
      </w:r>
    </w:p>
    <w:p>
      <w:pPr>
        <w:pStyle w:val="Para 25"/>
      </w:pPr>
      <w:r>
        <w:t/>
      </w:r>
    </w:p>
    <w:p>
      <w:pPr>
        <w:pStyle w:val="Para 02"/>
      </w:pPr>
      <w:r>
        <w:t xml:space="preserve">We will discuss methods for modifying access to files and directories later in this chapter. </w:t>
      </w:r>
    </w:p>
    <w:p>
      <w:pPr>
        <w:pStyle w:val="Para 25"/>
      </w:pPr>
      <w:r>
        <w:t/>
      </w:r>
    </w:p>
    <w:p>
      <w:pPr>
        <w:pStyle w:val="Para 07"/>
      </w:pPr>
      <w:r>
        <w:t xml:space="preserve">First Launch </w:t>
      </w:r>
    </w:p>
    <w:p>
      <w:pPr>
        <w:pStyle w:val="Normal"/>
      </w:pPr>
      <w:r>
        <w:t xml:space="preserve">Although you might not know it until you see it fail, some applications perform actions that are </w:t>
      </w:r>
    </w:p>
    <w:p>
      <w:pPr>
        <w:pStyle w:val="Normal"/>
      </w:pPr>
      <w:r>
        <w:t xml:space="preserve">restricted to users when the applications are launched for the first time. Some applications attempt to write data to the HKEY_LOCAL_MACHINE area of the registry. Others attempt to </w:t>
      </w:r>
    </w:p>
    <w:p>
      <w:pPr>
        <w:pStyle w:val="Normal"/>
      </w:pPr>
      <w:r>
        <w:t xml:space="preserve">register DLL files when first launched or when their functionality is first needed. This should be </w:t>
      </w:r>
    </w:p>
    <w:p>
      <w:pPr>
        <w:pStyle w:val="Normal"/>
      </w:pPr>
      <w:r>
        <w:t xml:space="preserve">performed as part of the installation process, but might be easily overlooked. Ensure that you log on and perform the initial execution of an application as a user immediately following </w:t>
      </w:r>
    </w:p>
    <w:p>
      <w:pPr>
        <w:pStyle w:val="Normal"/>
      </w:pPr>
      <w:r>
        <w:t xml:space="preserve">deployment to determine whether this issue is one you will have to deal with.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299" name="index-131_1.png" descr="index-131_1.png"/>
            <wp:cNvGraphicFramePr>
              <a:graphicFrameLocks noChangeAspect="1"/>
            </wp:cNvGraphicFramePr>
            <a:graphic>
              <a:graphicData uri="http://schemas.openxmlformats.org/drawingml/2006/picture">
                <pic:pic>
                  <pic:nvPicPr>
                    <pic:cNvPr id="0" name="index-131_1.png" descr="index-131_1.png"/>
                    <pic:cNvPicPr/>
                  </pic:nvPicPr>
                  <pic:blipFill>
                    <a:blip r:embed="rId30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00" name="index-131_2.png" descr="index-131_2.png"/>
            <wp:cNvGraphicFramePr>
              <a:graphicFrameLocks noChangeAspect="1"/>
            </wp:cNvGraphicFramePr>
            <a:graphic>
              <a:graphicData uri="http://schemas.openxmlformats.org/drawingml/2006/picture">
                <pic:pic>
                  <pic:nvPicPr>
                    <pic:cNvPr id="0" name="index-131_2.png" descr="index-131_2.png"/>
                    <pic:cNvPicPr/>
                  </pic:nvPicPr>
                  <pic:blipFill>
                    <a:blip r:embed="rId304"/>
                    <a:stretch>
                      <a:fillRect/>
                    </a:stretch>
                  </pic:blipFill>
                  <pic:spPr>
                    <a:xfrm>
                      <a:off x="0" y="0"/>
                      <a:ext cx="914400" cy="444500"/>
                    </a:xfrm>
                    <a:prstGeom prst="rect">
                      <a:avLst/>
                    </a:prstGeom>
                  </pic:spPr>
                </pic:pic>
              </a:graphicData>
            </a:graphic>
          </wp:anchor>
        </w:drawing>
      </w:r>
    </w:p>
    <w:p>
      <w:pPr>
        <w:pStyle w:val="0 Block"/>
      </w:pPr>
    </w:p>
    <w:p>
      <w:bookmarkStart w:id="138" w:name="Chapter_5_7"/>
      <w:pPr>
        <w:pStyle w:val="Heading 1"/>
        <w:pageBreakBefore w:val="on"/>
      </w:pPr>
      <w:r>
        <w:t>Chapter 5</w:t>
      </w:r>
      <w:bookmarkEnd w:id="138"/>
    </w:p>
    <w:p>
      <w:pPr>
        <w:pStyle w:val="Para 25"/>
      </w:pPr>
      <w:r>
        <w:t/>
      </w:r>
    </w:p>
    <w:p>
      <w:pPr>
        <w:pStyle w:val="Para 07"/>
      </w:pPr>
      <w:r>
        <w:t xml:space="preserve">Complex Deployments </w:t>
      </w:r>
    </w:p>
    <w:p>
      <w:pPr>
        <w:pStyle w:val="Normal"/>
      </w:pPr>
      <w:r>
        <w:t xml:space="preserve">Although restricting the environment in which users operate may mean fewer Help desk calls as </w:t>
      </w:r>
    </w:p>
    <w:p>
      <w:pPr>
        <w:pStyle w:val="Normal"/>
      </w:pPr>
      <w:r>
        <w:t xml:space="preserve">a result of users’ own actions, your own job of testing and deploying software packages becomes </w:t>
      </w:r>
    </w:p>
    <w:p>
      <w:pPr>
        <w:pStyle w:val="Normal"/>
      </w:pPr>
      <w:r>
        <w:t xml:space="preserve">far more difficult as a result of a locked down environment: </w:t>
      </w:r>
    </w:p>
    <w:p>
      <w:pPr>
        <w:pStyle w:val="Para 25"/>
      </w:pPr>
      <w:r>
        <w:t/>
      </w:r>
    </w:p>
    <w:p>
      <w:pPr>
        <w:pStyle w:val="Para 04"/>
      </w:pPr>
      <w:r>
        <w:t xml:space="preserve">• </w:t>
        <w:t xml:space="preserve">Restriction of actions automated for users—Out of the box, the logon script is executed in </w:t>
      </w:r>
    </w:p>
    <w:p>
      <w:pPr>
        <w:pStyle w:val="Para 01"/>
      </w:pPr>
      <w:r>
        <w:t xml:space="preserve">the security context of the user logging onto the computer. Although you might want to automate printer installation, software configurations, or other restricted actions, such </w:t>
      </w:r>
    </w:p>
    <w:p>
      <w:pPr>
        <w:pStyle w:val="Para 01"/>
      </w:pPr>
      <w:r>
        <w:t xml:space="preserve">actions may be just that—restricted. Microsoft and third-party utilities and command-line </w:t>
      </w:r>
    </w:p>
    <w:p>
      <w:pPr>
        <w:pStyle w:val="Para 01"/>
      </w:pPr>
      <w:r>
        <w:t xml:space="preserve">tools exist to trick or even replace this functionality; most environments are limited in their ability to perform actions during user logon as a result of the fact that systems must </w:t>
      </w:r>
    </w:p>
    <w:p>
      <w:pPr>
        <w:pStyle w:val="Para 01"/>
      </w:pPr>
      <w:r>
        <w:t xml:space="preserve">operate in the security context of the user. </w:t>
      </w:r>
    </w:p>
    <w:p>
      <w:pPr>
        <w:pStyle w:val="Para 25"/>
      </w:pPr>
      <w:r>
        <w:t/>
      </w:r>
    </w:p>
    <w:p>
      <w:pPr>
        <w:pStyle w:val="Para 04"/>
      </w:pPr>
      <w:r>
        <w:t xml:space="preserve">• </w:t>
        <w:t xml:space="preserve">Bad package or bad application? The failure of an application to run may be the result of </w:t>
      </w:r>
    </w:p>
    <w:p>
      <w:pPr>
        <w:pStyle w:val="Para 01"/>
      </w:pPr>
      <w:r>
        <w:t xml:space="preserve">a bad deployment package or the application’s inability to operate in a locked down environment. The additional step of installing the application and operating it as a user </w:t>
      </w:r>
    </w:p>
    <w:p>
      <w:pPr>
        <w:pStyle w:val="Para 01"/>
      </w:pPr>
      <w:r>
        <w:t xml:space="preserve">with regular user access to the computer thus becomes a necessity. I have often seen </w:t>
      </w:r>
    </w:p>
    <w:p>
      <w:pPr>
        <w:pStyle w:val="Para 01"/>
      </w:pPr>
      <w:r>
        <w:t xml:space="preserve">desktop administrators spend hours trying to determine why their script or repackaged installation is failing to operate correctly only to find that even when installed manually, </w:t>
      </w:r>
    </w:p>
    <w:p>
      <w:pPr>
        <w:pStyle w:val="Para 01"/>
      </w:pPr>
      <w:r>
        <w:t xml:space="preserve">the same problem occurs. </w:t>
      </w:r>
    </w:p>
    <w:p>
      <w:pPr>
        <w:pStyle w:val="Para 25"/>
      </w:pPr>
      <w:r>
        <w:t/>
      </w:r>
    </w:p>
    <w:p>
      <w:pPr>
        <w:pStyle w:val="Para 07"/>
      </w:pPr>
      <w:r>
        <w:t xml:space="preserve">Political Considerations </w:t>
      </w:r>
    </w:p>
    <w:p>
      <w:pPr>
        <w:pStyle w:val="Normal"/>
      </w:pPr>
      <w:r>
        <w:t xml:space="preserve">Many companies have gone down the locked-down path and found that it decreases productivity, </w:t>
      </w:r>
    </w:p>
    <w:p>
      <w:pPr>
        <w:pStyle w:val="Normal"/>
      </w:pPr>
      <w:r>
        <w:t xml:space="preserve">impacts morale, and causes increased difficulties in desktop administration. The decision to lock down your environment (and to what extend) must be measured against your corporate culture </w:t>
      </w:r>
    </w:p>
    <w:p>
      <w:pPr>
        <w:pStyle w:val="Normal"/>
      </w:pPr>
      <w:r>
        <w:t xml:space="preserve">and the sensitivity of the systems you are trying to protect. Simply approaching desktop </w:t>
      </w:r>
    </w:p>
    <w:p>
      <w:pPr>
        <w:pStyle w:val="Normal"/>
      </w:pPr>
      <w:r>
        <w:t xml:space="preserve">administration from a technical perspective will often result in backlash when the cultural </w:t>
      </w:r>
    </w:p>
    <w:p>
      <w:pPr>
        <w:pStyle w:val="Normal"/>
      </w:pPr>
      <w:r>
        <w:t xml:space="preserve">implications are not also taken into account. </w:t>
      </w:r>
    </w:p>
    <w:p>
      <w:pPr>
        <w:pStyle w:val="Para 25"/>
      </w:pPr>
      <w:r>
        <w:t/>
      </w:r>
    </w:p>
    <w:p>
      <w:pPr>
        <w:pStyle w:val="Para 12"/>
      </w:pPr>
      <w:r>
        <w:t xml:space="preserve">Modifying File and Registry Access and User Rights </w:t>
      </w:r>
    </w:p>
    <w:p>
      <w:pPr>
        <w:pStyle w:val="Para 25"/>
      </w:pPr>
      <w:r>
        <w:t/>
      </w:r>
    </w:p>
    <w:p>
      <w:pPr>
        <w:pStyle w:val="Normal"/>
      </w:pPr>
      <w:r>
        <w:t xml:space="preserve">With a read-only registry and file system, you may exercise the strictest level of security. </w:t>
      </w:r>
    </w:p>
    <w:p>
      <w:pPr>
        <w:pStyle w:val="Normal"/>
      </w:pPr>
      <w:r>
        <w:t xml:space="preserve">However, doing so will most certainly result in application and system failures aplenty. Still, the </w:t>
      </w:r>
    </w:p>
    <w:p>
      <w:pPr>
        <w:pStyle w:val="Normal"/>
      </w:pPr>
      <w:r>
        <w:t xml:space="preserve">most methodical and thorough approach to the limitation of file and registry access is to lock </w:t>
      </w:r>
    </w:p>
    <w:p>
      <w:pPr>
        <w:pStyle w:val="Normal"/>
      </w:pPr>
      <w:r>
        <w:t xml:space="preserve">everything away from the user, then open only what is deemed necessary on a case-by-case basis. As situations that require relaxed security of specific folders and registry keys increase </w:t>
      </w:r>
    </w:p>
    <w:p>
      <w:pPr>
        <w:pStyle w:val="Normal"/>
      </w:pPr>
      <w:r>
        <w:t xml:space="preserve">over time, your once locked down system could be come a very open one. It is therefore </w:t>
      </w:r>
    </w:p>
    <w:p>
      <w:pPr>
        <w:pStyle w:val="Normal"/>
      </w:pPr>
      <w:r>
        <w:t xml:space="preserve">important that the additional engineering and testing time be taken to identify, document, and adequately justify each security modification determined to be necessary. In this section, we will </w:t>
      </w:r>
    </w:p>
    <w:p>
      <w:pPr>
        <w:pStyle w:val="Normal"/>
      </w:pPr>
      <w:r>
        <w:t xml:space="preserve">discuss some of the tools available for modifying registry security, file security, and user rights.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01" name="index-132_1.png" descr="index-132_1.png"/>
            <wp:cNvGraphicFramePr>
              <a:graphicFrameLocks noChangeAspect="1"/>
            </wp:cNvGraphicFramePr>
            <a:graphic>
              <a:graphicData uri="http://schemas.openxmlformats.org/drawingml/2006/picture">
                <pic:pic>
                  <pic:nvPicPr>
                    <pic:cNvPr id="0" name="index-132_1.png" descr="index-132_1.png"/>
                    <pic:cNvPicPr/>
                  </pic:nvPicPr>
                  <pic:blipFill>
                    <a:blip r:embed="rId30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02" name="index-132_2.png" descr="index-132_2.png"/>
            <wp:cNvGraphicFramePr>
              <a:graphicFrameLocks noChangeAspect="1"/>
            </wp:cNvGraphicFramePr>
            <a:graphic>
              <a:graphicData uri="http://schemas.openxmlformats.org/drawingml/2006/picture">
                <pic:pic>
                  <pic:nvPicPr>
                    <pic:cNvPr id="0" name="index-132_2.png" descr="index-132_2.png"/>
                    <pic:cNvPicPr/>
                  </pic:nvPicPr>
                  <pic:blipFill>
                    <a:blip r:embed="rId306"/>
                    <a:stretch>
                      <a:fillRect/>
                    </a:stretch>
                  </pic:blipFill>
                  <pic:spPr>
                    <a:xfrm>
                      <a:off x="0" y="0"/>
                      <a:ext cx="914400" cy="444500"/>
                    </a:xfrm>
                    <a:prstGeom prst="rect">
                      <a:avLst/>
                    </a:prstGeom>
                  </pic:spPr>
                </pic:pic>
              </a:graphicData>
            </a:graphic>
          </wp:anchor>
        </w:drawing>
      </w:r>
    </w:p>
    <w:p>
      <w:pPr>
        <w:pStyle w:val="0 Block"/>
      </w:pPr>
    </w:p>
    <w:p>
      <w:bookmarkStart w:id="139" w:name="Chapter_5_8"/>
      <w:pPr>
        <w:pStyle w:val="Heading 1"/>
        <w:pageBreakBefore w:val="on"/>
      </w:pPr>
      <w:r>
        <w:t>Chapter 5</w:t>
      </w:r>
      <w:bookmarkEnd w:id="139"/>
    </w:p>
    <w:p>
      <w:pPr>
        <w:pStyle w:val="Para 25"/>
      </w:pPr>
      <w:r>
        <w:t/>
      </w:r>
    </w:p>
    <w:p>
      <w:pPr>
        <w:pStyle w:val="Para 07"/>
      </w:pPr>
      <w:r>
        <w:t xml:space="preserve">Registry Security </w:t>
      </w:r>
    </w:p>
    <w:p>
      <w:pPr>
        <w:pStyle w:val="Normal"/>
      </w:pPr>
      <w:r>
        <w:t xml:space="preserve">The registry holds settings for both the user (HKCU) and the computer (HKLM). These </w:t>
      </w:r>
    </w:p>
    <w:p>
      <w:pPr>
        <w:pStyle w:val="Normal"/>
      </w:pPr>
      <w:r>
        <w:t xml:space="preserve">computer settings affect everyone that utilizes the system and are typically restricted to </w:t>
      </w:r>
    </w:p>
    <w:p>
      <w:pPr>
        <w:pStyle w:val="Normal"/>
      </w:pPr>
      <w:r>
        <w:t xml:space="preserve">manipulation by those with normal “user” access to the system. The installation of most all </w:t>
      </w:r>
    </w:p>
    <w:p>
      <w:pPr>
        <w:pStyle w:val="Normal"/>
      </w:pPr>
      <w:r>
        <w:t xml:space="preserve">software requires keys and values to be created in the HKLM hive of the registry. Thus, software installation can be fairly easily restricted simply by ensuring that users are not members of </w:t>
      </w:r>
    </w:p>
    <w:p>
      <w:pPr>
        <w:pStyle w:val="Normal"/>
      </w:pPr>
      <w:r>
        <w:t xml:space="preserve">groups that grant them access (such as the Administrators or Power Users groups). </w:t>
      </w:r>
    </w:p>
    <w:p>
      <w:pPr>
        <w:pStyle w:val="Para 25"/>
      </w:pPr>
      <w:r>
        <w:t/>
      </w:r>
    </w:p>
    <w:p>
      <w:pPr>
        <w:pStyle w:val="Para 02"/>
      </w:pPr>
      <w:r>
        <w:t xml:space="preserve">In Win2K and later, only Administrators and Backup Operators have default network access to the </w:t>
      </w:r>
    </w:p>
    <w:p>
      <w:pPr>
        <w:pStyle w:val="Para 02"/>
      </w:pPr>
      <w:r>
        <w:t xml:space="preserve">registry. To restrict network access to the registry, create the </w:t>
      </w:r>
    </w:p>
    <w:p>
      <w:pPr>
        <w:pStyle w:val="Para 02"/>
      </w:pPr>
      <w:r>
        <w:t xml:space="preserve">HKEY_LOCAL_MACHINE\SYSTEM\CurrentControlSet\Control\SecurePipeServers\winreg key in the </w:t>
      </w:r>
    </w:p>
    <w:p>
      <w:pPr>
        <w:pStyle w:val="Para 02"/>
      </w:pPr>
      <w:r>
        <w:t xml:space="preserve">registry, and create a value named Registry Server with a type of REG_SZ. The Security permissions </w:t>
      </w:r>
    </w:p>
    <w:p>
      <w:pPr>
        <w:pStyle w:val="Para 02"/>
      </w:pPr>
      <w:r>
        <w:t xml:space="preserve">set on this key define which users or groups can connect to the system for remote registry access. </w:t>
      </w:r>
    </w:p>
    <w:p>
      <w:pPr>
        <w:pStyle w:val="Para 02"/>
      </w:pPr>
      <w:r>
        <w:t xml:space="preserve">For more details, see the Microsoft article “How to Restrict Access to the Registry from a Remote </w:t>
      </w:r>
    </w:p>
    <w:p>
      <w:pPr>
        <w:pStyle w:val="Para 02"/>
      </w:pPr>
      <w:r>
        <w:t xml:space="preserve">Computer.” </w:t>
      </w:r>
    </w:p>
    <w:p>
      <w:pPr>
        <w:pStyle w:val="Para 25"/>
      </w:pPr>
      <w:r>
        <w:t/>
      </w:r>
    </w:p>
    <w:p>
      <w:pPr>
        <w:pStyle w:val="Normal"/>
      </w:pPr>
      <w:r>
        <w:t xml:space="preserve">Because some applications insist on writing to the HKLM area of the registry, you might need to modify permission to allow users write access to certain keys. In other cases, you might not want </w:t>
      </w:r>
    </w:p>
    <w:p>
      <w:pPr>
        <w:pStyle w:val="Normal"/>
      </w:pPr>
      <w:r>
        <w:t xml:space="preserve">users to have the ability to make changes to keys that contain certain values. There are several </w:t>
      </w:r>
    </w:p>
    <w:p>
      <w:pPr>
        <w:pStyle w:val="Normal"/>
      </w:pPr>
      <w:r>
        <w:t xml:space="preserve">ways to go about modifying registry security; we will cover some of these tools in the following sections. </w:t>
      </w:r>
    </w:p>
    <w:p>
      <w:pPr>
        <w:pStyle w:val="Para 25"/>
      </w:pPr>
      <w:r>
        <w:t/>
      </w:r>
    </w:p>
    <w:p>
      <w:pPr>
        <w:pStyle w:val="Para 09"/>
      </w:pPr>
      <w:r>
        <w:t xml:space="preserve">Group Policy </w:t>
      </w:r>
    </w:p>
    <w:p>
      <w:pPr>
        <w:pStyle w:val="Para 25"/>
      </w:pPr>
      <w:r>
        <w:t/>
      </w:r>
    </w:p>
    <w:p>
      <w:pPr>
        <w:pStyle w:val="Normal"/>
      </w:pPr>
      <w:r>
        <w:t xml:space="preserve">In an AD environment in which client systems are running Win2K or later, the preferred way to </w:t>
      </w:r>
    </w:p>
    <w:p>
      <w:pPr>
        <w:pStyle w:val="Normal"/>
      </w:pPr>
      <w:r>
        <w:t xml:space="preserve">go about enforcing access control list (ACL) changes to either the registry or the file system is to use Group Policy. You can use the following steps to create a Group Policy Object (GPO) that </w:t>
      </w:r>
    </w:p>
    <w:p>
      <w:pPr>
        <w:pStyle w:val="Normal"/>
      </w:pPr>
      <w:r>
        <w:t xml:space="preserve">will modify the permissions of a registry subkey: </w:t>
      </w:r>
    </w:p>
    <w:p>
      <w:pPr>
        <w:pStyle w:val="Para 25"/>
      </w:pPr>
      <w:r>
        <w:t/>
      </w:r>
    </w:p>
    <w:p>
      <w:pPr>
        <w:pStyle w:val="Para 04"/>
      </w:pPr>
      <w:r>
        <w:rPr>
          <w:rStyle w:val="Text1"/>
        </w:rPr>
        <w:t xml:space="preserve">42. </w:t>
      </w:r>
      <w:r>
        <w:t xml:space="preserve">In a new or existing GPO, navigate to the Windows Settings/Security Settings/Registry </w:t>
      </w:r>
    </w:p>
    <w:p>
      <w:pPr>
        <w:pStyle w:val="Para 25"/>
      </w:pPr>
      <w:r>
        <w:t xml:space="preserve">folder under Computer Configuration in the tree view on the right (see Figure 5.2). </w:t>
      </w:r>
    </w:p>
    <w:p>
      <w:pPr>
        <w:pStyle w:val="Para 25"/>
      </w:pPr>
      <w:r>
        <w:t/>
      </w:r>
    </w:p>
    <w:p>
      <w:pPr>
        <w:pStyle w:val="Para 04"/>
      </w:pPr>
      <w:r>
        <w:rPr>
          <w:rStyle w:val="Text1"/>
        </w:rPr>
        <w:t xml:space="preserve">43. </w:t>
      </w:r>
      <w:r>
        <w:t xml:space="preserve">Right-click the Registry folder (or after selecting this folder, right-click in the pane at the </w:t>
      </w:r>
    </w:p>
    <w:p>
      <w:pPr>
        <w:pStyle w:val="Para 01"/>
      </w:pPr>
      <w:r>
        <w:t xml:space="preserve">right of the display), and choose Add Key. </w:t>
      </w:r>
    </w:p>
    <w:p>
      <w:pPr>
        <w:pStyle w:val="Para 25"/>
      </w:pPr>
      <w:r>
        <w:t/>
      </w:r>
    </w:p>
    <w:p>
      <w:pPr>
        <w:pStyle w:val="Para 04"/>
      </w:pPr>
      <w:r>
        <w:rPr>
          <w:rStyle w:val="Text1"/>
        </w:rPr>
        <w:t xml:space="preserve">44. </w:t>
      </w:r>
      <w:r>
        <w:t xml:space="preserve">A browse dialog box will appear entitled Select Registry Key. Browse to the key you </w:t>
      </w:r>
    </w:p>
    <w:p>
      <w:pPr>
        <w:pStyle w:val="Para 01"/>
      </w:pPr>
      <w:r>
        <w:t xml:space="preserve">want to modify or enter the key manually, and click OK to continue. </w:t>
      </w:r>
    </w:p>
    <w:p>
      <w:pPr>
        <w:pStyle w:val="Para 25"/>
      </w:pPr>
      <w:r>
        <w:t/>
      </w:r>
    </w:p>
    <w:p>
      <w:pPr>
        <w:pStyle w:val="Para 04"/>
      </w:pPr>
      <w:r>
        <w:rPr>
          <w:rStyle w:val="Text1"/>
        </w:rPr>
        <w:t xml:space="preserve">45. </w:t>
      </w:r>
      <w:r>
        <w:t xml:space="preserve">A standard security dialog box will appear in which you can add groups or individuals </w:t>
      </w:r>
    </w:p>
    <w:p>
      <w:pPr>
        <w:pStyle w:val="Para 01"/>
      </w:pPr>
      <w:r>
        <w:t xml:space="preserve">and choose their desired level of access. Click OK when your desired modifications are complete. </w:t>
      </w:r>
    </w:p>
    <w:p>
      <w:pPr>
        <w:pStyle w:val="Para 25"/>
      </w:pPr>
      <w:r>
        <w:t/>
      </w:r>
    </w:p>
    <w:p>
      <w:pPr>
        <w:pStyle w:val="Para 04"/>
      </w:pPr>
      <w:r>
        <w:rPr>
          <w:rStyle w:val="Text1"/>
        </w:rPr>
        <w:t xml:space="preserve">46. </w:t>
      </w:r>
      <w:r>
        <w:t xml:space="preserve">A dialog box will appear that lets you choose whether you would like to propagate (edit) </w:t>
      </w:r>
    </w:p>
    <w:p>
      <w:pPr>
        <w:pStyle w:val="Para 01"/>
      </w:pPr>
      <w:r>
        <w:t xml:space="preserve">the permissions to all subfolders and files or you would prefer to entirely replace the existing permissions. You may also choose not to affect the key changes whatsoever. </w:t>
      </w:r>
    </w:p>
    <w:p>
      <w:pPr>
        <w:pStyle w:val="Para 01"/>
      </w:pPr>
      <w:r>
        <w:t xml:space="preserve">Click OK to confirm your choice.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03" name="index-133_1.png" descr="index-133_1.png"/>
            <wp:cNvGraphicFramePr>
              <a:graphicFrameLocks noChangeAspect="1"/>
            </wp:cNvGraphicFramePr>
            <a:graphic>
              <a:graphicData uri="http://schemas.openxmlformats.org/drawingml/2006/picture">
                <pic:pic>
                  <pic:nvPicPr>
                    <pic:cNvPr id="0" name="index-133_1.png" descr="index-133_1.png"/>
                    <pic:cNvPicPr/>
                  </pic:nvPicPr>
                  <pic:blipFill>
                    <a:blip r:embed="rId30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04" name="index-133_2.png" descr="index-133_2.png"/>
            <wp:cNvGraphicFramePr>
              <a:graphicFrameLocks noChangeAspect="1"/>
            </wp:cNvGraphicFramePr>
            <a:graphic>
              <a:graphicData uri="http://schemas.openxmlformats.org/drawingml/2006/picture">
                <pic:pic>
                  <pic:nvPicPr>
                    <pic:cNvPr id="0" name="index-133_2.png" descr="index-133_2.png"/>
                    <pic:cNvPicPr/>
                  </pic:nvPicPr>
                  <pic:blipFill>
                    <a:blip r:embed="rId308"/>
                    <a:stretch>
                      <a:fillRect/>
                    </a:stretch>
                  </pic:blipFill>
                  <pic:spPr>
                    <a:xfrm>
                      <a:off x="0" y="0"/>
                      <a:ext cx="914400" cy="444500"/>
                    </a:xfrm>
                    <a:prstGeom prst="rect">
                      <a:avLst/>
                    </a:prstGeom>
                  </pic:spPr>
                </pic:pic>
              </a:graphicData>
            </a:graphic>
          </wp:anchor>
        </w:drawing>
      </w:r>
    </w:p>
    <w:p>
      <w:pPr>
        <w:pStyle w:val="0 Block"/>
      </w:pPr>
    </w:p>
    <w:p>
      <w:bookmarkStart w:id="140" w:name="Chapter_5_9"/>
      <w:pPr>
        <w:pStyle w:val="Heading 1"/>
        <w:pageBreakBefore w:val="on"/>
      </w:pPr>
      <w:r>
        <w:t>Chapter 5</w:t>
      </w:r>
      <w:bookmarkEnd w:id="1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2781300"/>
            <wp:effectExtent l="0" r="0" t="0" b="0"/>
            <wp:wrapTopAndBottom/>
            <wp:docPr id="305" name="index-134_1.png" descr="index-134_1.png"/>
            <wp:cNvGraphicFramePr>
              <a:graphicFrameLocks noChangeAspect="1"/>
            </wp:cNvGraphicFramePr>
            <a:graphic>
              <a:graphicData uri="http://schemas.openxmlformats.org/drawingml/2006/picture">
                <pic:pic>
                  <pic:nvPicPr>
                    <pic:cNvPr id="0" name="index-134_1.png" descr="index-134_1.png"/>
                    <pic:cNvPicPr/>
                  </pic:nvPicPr>
                  <pic:blipFill>
                    <a:blip r:embed="rId309"/>
                    <a:stretch>
                      <a:fillRect/>
                    </a:stretch>
                  </pic:blipFill>
                  <pic:spPr>
                    <a:xfrm>
                      <a:off x="0" y="0"/>
                      <a:ext cx="3581400" cy="27813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5.2: GPO with registry security modification. </w:t>
      </w:r>
    </w:p>
    <w:p>
      <w:pPr>
        <w:pStyle w:val="Para 25"/>
      </w:pPr>
      <w:r>
        <w:t/>
      </w:r>
    </w:p>
    <w:p>
      <w:pPr>
        <w:pStyle w:val="Normal"/>
      </w:pPr>
      <w:r>
        <w:t xml:space="preserve">Once a GPO such as this has been created, you can link it to any group of computers or </w:t>
      </w:r>
    </w:p>
    <w:p>
      <w:pPr>
        <w:pStyle w:val="Normal"/>
      </w:pPr>
      <w:r>
        <w:t xml:space="preserve">organizational unit (OU) containing computers within AD. Many organizations choose to </w:t>
      </w:r>
    </w:p>
    <w:p>
      <w:pPr>
        <w:pStyle w:val="Normal"/>
      </w:pPr>
      <w:r>
        <w:t xml:space="preserve">implement a single GPO that contains all ACL changes in their environment. However, where a GPO exists for a specific software distribution, it is common to include the ACL change in the </w:t>
      </w:r>
    </w:p>
    <w:p>
      <w:pPr>
        <w:pStyle w:val="Normal"/>
      </w:pPr>
      <w:r>
        <w:t xml:space="preserve">same GPO as the software package. However you choose to implement ACL changes via Group </w:t>
      </w:r>
    </w:p>
    <w:p>
      <w:pPr>
        <w:pStyle w:val="Normal"/>
      </w:pPr>
      <w:r>
        <w:t xml:space="preserve">Policy, aim to minimize the number of GPOs required to avoid delays during the startup process. </w:t>
      </w:r>
    </w:p>
    <w:p>
      <w:pPr>
        <w:pStyle w:val="Para 25"/>
      </w:pPr>
      <w:r>
        <w:t/>
      </w:r>
    </w:p>
    <w:p>
      <w:pPr>
        <w:pStyle w:val="Para 02"/>
      </w:pPr>
      <w:r>
        <w:t xml:space="preserve">You can use Group Policy to manage only Win2K and later clients in an AD environment. Even with </w:t>
      </w:r>
    </w:p>
    <w:p>
      <w:pPr>
        <w:pStyle w:val="Para 02"/>
      </w:pPr>
      <w:r>
        <w:t xml:space="preserve">AD services installed on earlier versions of Windows, Group Policy is not an option. You can enforce </w:t>
      </w:r>
    </w:p>
    <w:p>
      <w:pPr>
        <w:pStyle w:val="Para 02"/>
      </w:pPr>
      <w:r>
        <w:t xml:space="preserve">settings on these earlier versions using System Policy, but System Policy can be used only to enforce </w:t>
      </w:r>
    </w:p>
    <w:p>
      <w:pPr>
        <w:pStyle w:val="Para 02"/>
      </w:pPr>
      <w:r>
        <w:t xml:space="preserve">settings and not to manipulate registry or file security. For these systems, an alternative means of </w:t>
      </w:r>
    </w:p>
    <w:p>
      <w:pPr>
        <w:pStyle w:val="Para 02"/>
      </w:pPr>
      <w:r>
        <w:t xml:space="preserve">accomplishing this task must be utilized (typically using a command-line utility such as RegINI.)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06" name="index-134_2.png" descr="index-134_2.png"/>
            <wp:cNvGraphicFramePr>
              <a:graphicFrameLocks noChangeAspect="1"/>
            </wp:cNvGraphicFramePr>
            <a:graphic>
              <a:graphicData uri="http://schemas.openxmlformats.org/drawingml/2006/picture">
                <pic:pic>
                  <pic:nvPicPr>
                    <pic:cNvPr id="0" name="index-134_2.png" descr="index-134_2.png"/>
                    <pic:cNvPicPr/>
                  </pic:nvPicPr>
                  <pic:blipFill>
                    <a:blip r:embed="rId31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07" name="index-134_3.png" descr="index-134_3.png"/>
            <wp:cNvGraphicFramePr>
              <a:graphicFrameLocks noChangeAspect="1"/>
            </wp:cNvGraphicFramePr>
            <a:graphic>
              <a:graphicData uri="http://schemas.openxmlformats.org/drawingml/2006/picture">
                <pic:pic>
                  <pic:nvPicPr>
                    <pic:cNvPr id="0" name="index-134_3.png" descr="index-134_3.png"/>
                    <pic:cNvPicPr/>
                  </pic:nvPicPr>
                  <pic:blipFill>
                    <a:blip r:embed="rId311"/>
                    <a:stretch>
                      <a:fillRect/>
                    </a:stretch>
                  </pic:blipFill>
                  <pic:spPr>
                    <a:xfrm>
                      <a:off x="0" y="0"/>
                      <a:ext cx="914400" cy="444500"/>
                    </a:xfrm>
                    <a:prstGeom prst="rect">
                      <a:avLst/>
                    </a:prstGeom>
                  </pic:spPr>
                </pic:pic>
              </a:graphicData>
            </a:graphic>
          </wp:anchor>
        </w:drawing>
      </w:r>
    </w:p>
    <w:p>
      <w:pPr>
        <w:pStyle w:val="0 Block"/>
      </w:pPr>
    </w:p>
    <w:p>
      <w:bookmarkStart w:id="141" w:name="Chapter_5_10"/>
      <w:pPr>
        <w:pStyle w:val="Heading 1"/>
        <w:pageBreakBefore w:val="on"/>
      </w:pPr>
      <w:r>
        <w:t>Chapter 5</w:t>
      </w:r>
      <w:bookmarkEnd w:id="141"/>
    </w:p>
    <w:p>
      <w:pPr>
        <w:pStyle w:val="Para 25"/>
      </w:pPr>
      <w:r>
        <w:t/>
      </w:r>
    </w:p>
    <w:p>
      <w:pPr>
        <w:pStyle w:val="Para 09"/>
      </w:pPr>
      <w:r>
        <w:t xml:space="preserve">RegINI </w:t>
      </w:r>
    </w:p>
    <w:p>
      <w:pPr>
        <w:pStyle w:val="Para 25"/>
      </w:pPr>
      <w:r>
        <w:t/>
      </w:r>
    </w:p>
    <w:p>
      <w:pPr>
        <w:pStyle w:val="Normal"/>
      </w:pPr>
      <w:r>
        <w:t xml:space="preserve">Available in NT and later resource kits, RegINI provides a means of manipulating registry values </w:t>
      </w:r>
    </w:p>
    <w:p>
      <w:pPr>
        <w:pStyle w:val="Normal"/>
      </w:pPr>
      <w:r>
        <w:t xml:space="preserve">and, more importantly, security settings from the command line. The utility specifies an external file that acts as a script for setting and modifying registry entries, and optionally, their security. </w:t>
      </w:r>
    </w:p>
    <w:p>
      <w:pPr>
        <w:pStyle w:val="Normal"/>
      </w:pPr>
      <w:r>
        <w:t xml:space="preserve">With its long list of security options and odd formatting, it is not the friendliest of utilities and </w:t>
      </w:r>
    </w:p>
    <w:p>
      <w:pPr>
        <w:pStyle w:val="Normal"/>
      </w:pPr>
      <w:r>
        <w:t xml:space="preserve">can prove difficult to work with. Table 5.1 shows many of the permission identifiers that you can use for setting security with this tool. </w:t>
      </w:r>
    </w:p>
    <w:p>
      <w:pPr>
        <w:pStyle w:val="Para 25"/>
      </w:pPr>
      <w:r>
        <w:t/>
      </w:r>
    </w:p>
    <w:p>
      <w:pPr>
        <w:pStyle w:val="Para 18"/>
      </w:pPr>
      <w:r>
        <w:t xml:space="preserve">Permission Identifier </w:t>
      </w:r>
      <w:r>
        <w:rPr>
          <w:rStyle w:val="Text5"/>
        </w:rPr>
        <w:t xml:space="preserve"> </w:t>
      </w:r>
      <w:r>
        <w:t xml:space="preserve">Definition </w:t>
      </w:r>
    </w:p>
    <w:p>
      <w:pPr>
        <w:pStyle w:val="Para 03"/>
      </w:pPr>
      <w:r>
        <w:t xml:space="preserve">1 </w:t>
      </w:r>
      <w:r>
        <w:rPr>
          <w:rStyle w:val="Text2"/>
        </w:rPr>
        <w:t xml:space="preserve"> </w:t>
      </w:r>
      <w:r>
        <w:t xml:space="preserve">Administrators Full Access </w:t>
      </w:r>
    </w:p>
    <w:p>
      <w:pPr>
        <w:pStyle w:val="Para 03"/>
      </w:pPr>
      <w:r>
        <w:t xml:space="preserve">2 </w:t>
      </w:r>
      <w:r>
        <w:rPr>
          <w:rStyle w:val="Text2"/>
        </w:rPr>
        <w:t xml:space="preserve"> </w:t>
      </w:r>
      <w:r>
        <w:t xml:space="preserve">Administrators Read Access </w:t>
      </w:r>
    </w:p>
    <w:p>
      <w:pPr>
        <w:pStyle w:val="Para 03"/>
      </w:pPr>
      <w:r>
        <w:t xml:space="preserve">3 </w:t>
      </w:r>
      <w:r>
        <w:rPr>
          <w:rStyle w:val="Text2"/>
        </w:rPr>
        <w:t xml:space="preserve"> </w:t>
      </w:r>
      <w:r>
        <w:t xml:space="preserve">Administrators Read and Write Access </w:t>
      </w:r>
    </w:p>
    <w:p>
      <w:pPr>
        <w:pStyle w:val="Para 03"/>
      </w:pPr>
      <w:r>
        <w:t xml:space="preserve">4 </w:t>
      </w:r>
      <w:r>
        <w:rPr>
          <w:rStyle w:val="Text2"/>
        </w:rPr>
        <w:t xml:space="preserve"> </w:t>
      </w:r>
      <w:r>
        <w:t xml:space="preserve">Administrators Read, Write and Delete Access </w:t>
      </w:r>
    </w:p>
    <w:p>
      <w:pPr>
        <w:pStyle w:val="Para 03"/>
      </w:pPr>
      <w:r>
        <w:t xml:space="preserve">5 Creator </w:t>
        <w:t xml:space="preserve">Full </w:t>
        <w:t xml:space="preserve">Access </w:t>
      </w:r>
    </w:p>
    <w:p>
      <w:pPr>
        <w:pStyle w:val="Para 03"/>
      </w:pPr>
      <w:r>
        <w:t xml:space="preserve">6 </w:t>
      </w:r>
      <w:r>
        <w:rPr>
          <w:rStyle w:val="Text2"/>
        </w:rPr>
        <w:t xml:space="preserve"> </w:t>
      </w:r>
      <w:r>
        <w:t xml:space="preserve">Creator Read and Write Access </w:t>
      </w:r>
    </w:p>
    <w:p>
      <w:pPr>
        <w:pStyle w:val="Para 03"/>
      </w:pPr>
      <w:r>
        <w:t xml:space="preserve">7 </w:t>
      </w:r>
      <w:r>
        <w:rPr>
          <w:rStyle w:val="Text2"/>
        </w:rPr>
        <w:t xml:space="preserve"> </w:t>
      </w:r>
      <w:r>
        <w:t xml:space="preserve">World Full Access </w:t>
      </w:r>
    </w:p>
    <w:p>
      <w:pPr>
        <w:pStyle w:val="Para 03"/>
      </w:pPr>
      <w:r>
        <w:t xml:space="preserve">8 World </w:t>
        <w:t xml:space="preserve">Read </w:t>
        <w:t xml:space="preserve">Access </w:t>
      </w:r>
    </w:p>
    <w:p>
      <w:pPr>
        <w:pStyle w:val="Para 03"/>
      </w:pPr>
      <w:r>
        <w:t xml:space="preserve">9 </w:t>
      </w:r>
      <w:r>
        <w:rPr>
          <w:rStyle w:val="Text2"/>
        </w:rPr>
        <w:t xml:space="preserve"> </w:t>
      </w:r>
      <w:r>
        <w:t xml:space="preserve">World Read and Write Access </w:t>
      </w:r>
    </w:p>
    <w:p>
      <w:pPr>
        <w:pStyle w:val="Para 03"/>
      </w:pPr>
      <w:r>
        <w:t xml:space="preserve">10 </w:t>
      </w:r>
      <w:r>
        <w:rPr>
          <w:rStyle w:val="Text2"/>
        </w:rPr>
        <w:t xml:space="preserve"> </w:t>
      </w:r>
      <w:r>
        <w:t xml:space="preserve">World Read, Write and Delete Access </w:t>
      </w:r>
    </w:p>
    <w:p>
      <w:pPr>
        <w:pStyle w:val="Para 03"/>
      </w:pPr>
      <w:r>
        <w:t xml:space="preserve">11 </w:t>
      </w:r>
      <w:r>
        <w:rPr>
          <w:rStyle w:val="Text2"/>
        </w:rPr>
        <w:t xml:space="preserve"> </w:t>
      </w:r>
      <w:r>
        <w:t xml:space="preserve">Power Users Full Access </w:t>
      </w:r>
    </w:p>
    <w:p>
      <w:pPr>
        <w:pStyle w:val="Para 03"/>
      </w:pPr>
      <w:r>
        <w:t xml:space="preserve">12 </w:t>
      </w:r>
      <w:r>
        <w:rPr>
          <w:rStyle w:val="Text2"/>
        </w:rPr>
        <w:t xml:space="preserve"> </w:t>
      </w:r>
      <w:r>
        <w:t xml:space="preserve">Power Users Read and Write Access </w:t>
      </w:r>
    </w:p>
    <w:p>
      <w:pPr>
        <w:pStyle w:val="Para 03"/>
      </w:pPr>
      <w:r>
        <w:t xml:space="preserve">13 </w:t>
      </w:r>
      <w:r>
        <w:rPr>
          <w:rStyle w:val="Text2"/>
        </w:rPr>
        <w:t xml:space="preserve"> </w:t>
      </w:r>
      <w:r>
        <w:t xml:space="preserve">Power Users Read, Write and Delete Access </w:t>
      </w:r>
    </w:p>
    <w:p>
      <w:pPr>
        <w:pStyle w:val="Para 03"/>
      </w:pPr>
      <w:r>
        <w:t xml:space="preserve">14 </w:t>
      </w:r>
      <w:r>
        <w:rPr>
          <w:rStyle w:val="Text2"/>
        </w:rPr>
        <w:t xml:space="preserve"> </w:t>
      </w:r>
      <w:r>
        <w:t xml:space="preserve">System Operators Full Access </w:t>
      </w:r>
    </w:p>
    <w:p>
      <w:pPr>
        <w:pStyle w:val="Para 03"/>
      </w:pPr>
      <w:r>
        <w:t xml:space="preserve">15 </w:t>
      </w:r>
      <w:r>
        <w:rPr>
          <w:rStyle w:val="Text2"/>
        </w:rPr>
        <w:t xml:space="preserve"> </w:t>
      </w:r>
      <w:r>
        <w:t xml:space="preserve">System Operators Read and Write Access </w:t>
      </w:r>
    </w:p>
    <w:p>
      <w:pPr>
        <w:pStyle w:val="Para 03"/>
      </w:pPr>
      <w:r>
        <w:t xml:space="preserve">16 </w:t>
      </w:r>
      <w:r>
        <w:rPr>
          <w:rStyle w:val="Text2"/>
        </w:rPr>
        <w:t xml:space="preserve"> </w:t>
      </w:r>
      <w:r>
        <w:t xml:space="preserve">System Operators Read, Write and Delete Access </w:t>
      </w:r>
    </w:p>
    <w:p>
      <w:pPr>
        <w:pStyle w:val="Para 03"/>
      </w:pPr>
      <w:r>
        <w:t xml:space="preserve">17 </w:t>
      </w:r>
      <w:r>
        <w:rPr>
          <w:rStyle w:val="Text2"/>
        </w:rPr>
        <w:t xml:space="preserve"> </w:t>
      </w:r>
      <w:r>
        <w:t xml:space="preserve">System Full Access </w:t>
      </w:r>
    </w:p>
    <w:p>
      <w:pPr>
        <w:pStyle w:val="Para 03"/>
      </w:pPr>
      <w:r>
        <w:t xml:space="preserve">18 </w:t>
      </w:r>
      <w:r>
        <w:rPr>
          <w:rStyle w:val="Text2"/>
        </w:rPr>
        <w:t xml:space="preserve"> </w:t>
      </w:r>
      <w:r>
        <w:t xml:space="preserve">System Read and Write Access </w:t>
      </w:r>
    </w:p>
    <w:p>
      <w:pPr>
        <w:pStyle w:val="Para 03"/>
      </w:pPr>
      <w:r>
        <w:t xml:space="preserve">19 </w:t>
      </w:r>
      <w:r>
        <w:rPr>
          <w:rStyle w:val="Text2"/>
        </w:rPr>
        <w:t xml:space="preserve"> </w:t>
      </w:r>
      <w:r>
        <w:t xml:space="preserve">System Read Access </w:t>
      </w:r>
    </w:p>
    <w:p>
      <w:pPr>
        <w:pStyle w:val="Para 03"/>
      </w:pPr>
      <w:r>
        <w:t xml:space="preserve">20 </w:t>
      </w:r>
      <w:r>
        <w:rPr>
          <w:rStyle w:val="Text2"/>
        </w:rPr>
        <w:t xml:space="preserve"> </w:t>
      </w:r>
      <w:r>
        <w:t xml:space="preserve">Administrators Read, Write and Execute Access </w:t>
      </w:r>
    </w:p>
    <w:p>
      <w:pPr>
        <w:pStyle w:val="Para 03"/>
      </w:pPr>
      <w:r>
        <w:t xml:space="preserve">21 </w:t>
      </w:r>
      <w:r>
        <w:rPr>
          <w:rStyle w:val="Text2"/>
        </w:rPr>
        <w:t xml:space="preserve"> </w:t>
      </w:r>
      <w:r>
        <w:t xml:space="preserve">Interactive User Full Access </w:t>
      </w:r>
    </w:p>
    <w:p>
      <w:pPr>
        <w:pStyle w:val="Para 03"/>
      </w:pPr>
      <w:r>
        <w:t xml:space="preserve">22 </w:t>
      </w:r>
      <w:r>
        <w:rPr>
          <w:rStyle w:val="Text2"/>
        </w:rPr>
        <w:t xml:space="preserve"> </w:t>
      </w:r>
      <w:r>
        <w:t xml:space="preserve">Interactive User Read and Write Access </w:t>
      </w:r>
    </w:p>
    <w:p>
      <w:pPr>
        <w:pStyle w:val="Para 03"/>
      </w:pPr>
      <w:r>
        <w:t xml:space="preserve">23 </w:t>
      </w:r>
      <w:r>
        <w:rPr>
          <w:rStyle w:val="Text2"/>
        </w:rPr>
        <w:t xml:space="preserve"> </w:t>
      </w:r>
      <w:r>
        <w:t xml:space="preserve">Interactive User Read, Write and Delete Access </w:t>
      </w:r>
    </w:p>
    <w:p>
      <w:pPr>
        <w:pStyle w:val="Para 25"/>
      </w:pPr>
      <w:r>
        <w:t/>
      </w:r>
    </w:p>
    <w:p>
      <w:pPr>
        <w:pStyle w:val="Para 10"/>
      </w:pPr>
      <w:r>
        <w:t xml:space="preserve">Table 5.1: RegINI permission identifiers.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08" name="index-135_1.png" descr="index-135_1.png"/>
            <wp:cNvGraphicFramePr>
              <a:graphicFrameLocks noChangeAspect="1"/>
            </wp:cNvGraphicFramePr>
            <a:graphic>
              <a:graphicData uri="http://schemas.openxmlformats.org/drawingml/2006/picture">
                <pic:pic>
                  <pic:nvPicPr>
                    <pic:cNvPr id="0" name="index-135_1.png" descr="index-135_1.png"/>
                    <pic:cNvPicPr/>
                  </pic:nvPicPr>
                  <pic:blipFill>
                    <a:blip r:embed="rId31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09" name="index-135_2.png" descr="index-135_2.png"/>
            <wp:cNvGraphicFramePr>
              <a:graphicFrameLocks noChangeAspect="1"/>
            </wp:cNvGraphicFramePr>
            <a:graphic>
              <a:graphicData uri="http://schemas.openxmlformats.org/drawingml/2006/picture">
                <pic:pic>
                  <pic:nvPicPr>
                    <pic:cNvPr id="0" name="index-135_2.png" descr="index-135_2.png"/>
                    <pic:cNvPicPr/>
                  </pic:nvPicPr>
                  <pic:blipFill>
                    <a:blip r:embed="rId313"/>
                    <a:stretch>
                      <a:fillRect/>
                    </a:stretch>
                  </pic:blipFill>
                  <pic:spPr>
                    <a:xfrm>
                      <a:off x="0" y="0"/>
                      <a:ext cx="914400" cy="444500"/>
                    </a:xfrm>
                    <a:prstGeom prst="rect">
                      <a:avLst/>
                    </a:prstGeom>
                  </pic:spPr>
                </pic:pic>
              </a:graphicData>
            </a:graphic>
          </wp:anchor>
        </w:drawing>
      </w:r>
    </w:p>
    <w:p>
      <w:pPr>
        <w:pStyle w:val="0 Block"/>
      </w:pPr>
    </w:p>
    <w:p>
      <w:bookmarkStart w:id="142" w:name="Chapter_5_11"/>
      <w:pPr>
        <w:pStyle w:val="Heading 1"/>
        <w:pageBreakBefore w:val="on"/>
      </w:pPr>
      <w:r>
        <w:t>Chapter 5</w:t>
      </w:r>
      <w:bookmarkEnd w:id="142"/>
    </w:p>
    <w:p>
      <w:pPr>
        <w:pStyle w:val="Para 25"/>
      </w:pPr>
      <w:r>
        <w:t/>
      </w:r>
    </w:p>
    <w:p>
      <w:pPr>
        <w:pStyle w:val="Normal"/>
      </w:pPr>
      <w:r>
        <w:t xml:space="preserve">The following RegINI script file will change the permissions of the RunOnce key to allow </w:t>
      </w:r>
    </w:p>
    <w:p>
      <w:pPr>
        <w:pStyle w:val="Normal"/>
      </w:pPr>
      <w:r>
        <w:t xml:space="preserve">everyone Full Access: </w:t>
      </w:r>
    </w:p>
    <w:p>
      <w:pPr>
        <w:pStyle w:val="Para 25"/>
      </w:pPr>
      <w:r>
        <w:t/>
      </w:r>
    </w:p>
    <w:p>
      <w:pPr>
        <w:pStyle w:val="Para 11"/>
      </w:pPr>
      <w:r>
        <w:t xml:space="preserve">\Registry\Machine </w:t>
      </w:r>
    </w:p>
    <w:p>
      <w:pPr>
        <w:pStyle w:val="Para 11"/>
      </w:pPr>
      <w:r>
        <w:t xml:space="preserve"> SOFTWARE </w:t>
      </w:r>
    </w:p>
    <w:p>
      <w:pPr>
        <w:pStyle w:val="Para 11"/>
      </w:pPr>
      <w:r>
        <w:t xml:space="preserve"> Microsoft </w:t>
      </w:r>
    </w:p>
    <w:p>
      <w:pPr>
        <w:pStyle w:val="Para 02"/>
      </w:pPr>
      <w:r>
        <w:t xml:space="preserve">Windows </w:t>
      </w:r>
    </w:p>
    <w:p>
      <w:pPr>
        <w:pStyle w:val="Para 02"/>
      </w:pPr>
      <w:r>
        <w:t xml:space="preserve">CurrentVersion </w:t>
      </w:r>
    </w:p>
    <w:p>
      <w:pPr>
        <w:pStyle w:val="Para 02"/>
      </w:pPr>
      <w:r>
        <w:t xml:space="preserve">RunOnce </w:t>
        <w:t xml:space="preserve">[7] </w:t>
      </w:r>
    </w:p>
    <w:p>
      <w:pPr>
        <w:pStyle w:val="Para 25"/>
      </w:pPr>
      <w:r>
        <w:t/>
      </w:r>
    </w:p>
    <w:p>
      <w:pPr>
        <w:pStyle w:val="Para 02"/>
      </w:pPr>
      <w:r>
        <w:t xml:space="preserve">Because security settings for a key affect its subkeys as well, you must have permission to change </w:t>
      </w:r>
    </w:p>
    <w:p>
      <w:pPr>
        <w:pStyle w:val="Para 02"/>
      </w:pPr>
      <w:r>
        <w:t xml:space="preserve">security information for the key and all its subkeys in order to change security information for the key. </w:t>
      </w:r>
    </w:p>
    <w:p>
      <w:pPr>
        <w:pStyle w:val="Para 25"/>
      </w:pPr>
      <w:r>
        <w:t/>
      </w:r>
    </w:p>
    <w:p>
      <w:pPr>
        <w:pStyle w:val="Para 09"/>
      </w:pPr>
      <w:r>
        <w:t xml:space="preserve">RegDmp </w:t>
      </w:r>
    </w:p>
    <w:p>
      <w:pPr>
        <w:pStyle w:val="Para 25"/>
      </w:pPr>
      <w:r>
        <w:t/>
      </w:r>
    </w:p>
    <w:p>
      <w:pPr>
        <w:pStyle w:val="Normal"/>
      </w:pPr>
      <w:r>
        <w:t xml:space="preserve">RegDmp is a Windows resource kit utility that works in conjunction with RegINI. It dumps the </w:t>
      </w:r>
    </w:p>
    <w:p>
      <w:pPr>
        <w:pStyle w:val="Normal"/>
      </w:pPr>
      <w:r>
        <w:t xml:space="preserve">contents of the registry to an output file in a RegINI-compatible format. Using RegDmp, you can </w:t>
      </w:r>
    </w:p>
    <w:p>
      <w:pPr>
        <w:pStyle w:val="Normal"/>
      </w:pPr>
      <w:r>
        <w:t xml:space="preserve">create RegINI input scripts based on actual registry values. You can then modify the contents of RegDmp output to make any modifications you need to the registry. </w:t>
      </w:r>
    </w:p>
    <w:p>
      <w:pPr>
        <w:pStyle w:val="Para 25"/>
      </w:pPr>
      <w:r>
        <w:t/>
      </w:r>
    </w:p>
    <w:p>
      <w:pPr>
        <w:pStyle w:val="Para 09"/>
      </w:pPr>
      <w:r>
        <w:t xml:space="preserve">SecAdd </w:t>
      </w:r>
    </w:p>
    <w:p>
      <w:pPr>
        <w:pStyle w:val="Para 25"/>
      </w:pPr>
      <w:r>
        <w:t/>
      </w:r>
    </w:p>
    <w:p>
      <w:pPr>
        <w:pStyle w:val="Normal"/>
      </w:pPr>
      <w:r>
        <w:t xml:space="preserve">SecAdd is a simple command-line tool that allows registry security modification from the command line. It is much easier to use than RegINI, but is more limited in its functionality. You </w:t>
      </w:r>
    </w:p>
    <w:p>
      <w:pPr>
        <w:pStyle w:val="Normal"/>
      </w:pPr>
      <w:r>
        <w:t xml:space="preserve">can use the tool to remove the Everyone group from a specified registry key in the </w:t>
      </w:r>
    </w:p>
    <w:p>
      <w:pPr>
        <w:pStyle w:val="Normal"/>
      </w:pPr>
      <w:r>
        <w:t xml:space="preserve">HKEY_LOCAL_MACHINE hive or to add read access to a specific user for a specified registry key. </w:t>
      </w:r>
    </w:p>
    <w:p>
      <w:pPr>
        <w:pStyle w:val="Para 25"/>
      </w:pPr>
      <w:r>
        <w:t/>
      </w:r>
    </w:p>
    <w:p>
      <w:pPr>
        <w:pStyle w:val="Para 07"/>
      </w:pPr>
      <w:r>
        <w:t xml:space="preserve">File Security </w:t>
      </w:r>
    </w:p>
    <w:p>
      <w:pPr>
        <w:pStyle w:val="Normal"/>
      </w:pPr>
      <w:r>
        <w:t xml:space="preserve">There are times when you might want to restrict a user’s ability to save files to a certain location </w:t>
      </w:r>
    </w:p>
    <w:p>
      <w:pPr>
        <w:pStyle w:val="Normal"/>
      </w:pPr>
      <w:r>
        <w:t xml:space="preserve">or to allow access to a certain file or folder in order for an application to operate. When locking </w:t>
      </w:r>
    </w:p>
    <w:p>
      <w:pPr>
        <w:pStyle w:val="Normal"/>
      </w:pPr>
      <w:r>
        <w:t xml:space="preserve">down a system, only the files and folders that are required to be modified by users provide such access. </w:t>
      </w:r>
    </w:p>
    <w:p>
      <w:pPr>
        <w:pStyle w:val="Para 25"/>
      </w:pPr>
      <w:r>
        <w:t/>
      </w:r>
    </w:p>
    <w:p>
      <w:pPr>
        <w:pStyle w:val="Normal"/>
      </w:pPr>
      <w:r>
        <w:t xml:space="preserve">As we have discussed, with everything locked away from the users, there are likely to be </w:t>
      </w:r>
    </w:p>
    <w:p>
      <w:pPr>
        <w:pStyle w:val="Normal"/>
      </w:pPr>
      <w:r>
        <w:t xml:space="preserve">situations in which you need to relax certain permissions in order for applications to operate. </w:t>
      </w:r>
    </w:p>
    <w:p>
      <w:pPr>
        <w:pStyle w:val="Normal"/>
      </w:pPr>
      <w:r>
        <w:t xml:space="preserve">There are several tools available for managing file security to help you in this task. In this section, we will discuss some of the methods and tools available for modifying file and folder </w:t>
      </w:r>
    </w:p>
    <w:p>
      <w:pPr>
        <w:pStyle w:val="Normal"/>
      </w:pPr>
      <w:r>
        <w:t xml:space="preserve">permissions. </w:t>
      </w:r>
    </w:p>
    <w:p>
      <w:pPr>
        <w:pStyle w:val="Para 25"/>
      </w:pPr>
      <w:r>
        <w:t/>
      </w:r>
    </w:p>
    <w:p>
      <w:pPr>
        <w:pStyle w:val="Para 09"/>
      </w:pPr>
      <w:r>
        <w:t xml:space="preserve">Group Policy </w:t>
      </w:r>
    </w:p>
    <w:p>
      <w:pPr>
        <w:pStyle w:val="Para 25"/>
      </w:pPr>
      <w:r>
        <w:t/>
      </w:r>
    </w:p>
    <w:p>
      <w:pPr>
        <w:pStyle w:val="Normal"/>
      </w:pPr>
      <w:r>
        <w:t xml:space="preserve">Using the same procedure specified earlier in this section for modifying registry security, you </w:t>
      </w:r>
    </w:p>
    <w:p>
      <w:pPr>
        <w:pStyle w:val="Normal"/>
      </w:pPr>
      <w:r>
        <w:t xml:space="preserve">can use Group Policy to modify file security. Once again, this capability is restricted to AD </w:t>
      </w:r>
    </w:p>
    <w:p>
      <w:pPr>
        <w:pStyle w:val="Normal"/>
      </w:pPr>
      <w:r>
        <w:t xml:space="preserve">environments in which client OSs are running Win2K or later.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10" name="index-136_1.png" descr="index-136_1.png"/>
            <wp:cNvGraphicFramePr>
              <a:graphicFrameLocks noChangeAspect="1"/>
            </wp:cNvGraphicFramePr>
            <a:graphic>
              <a:graphicData uri="http://schemas.openxmlformats.org/drawingml/2006/picture">
                <pic:pic>
                  <pic:nvPicPr>
                    <pic:cNvPr id="0" name="index-136_1.png" descr="index-136_1.png"/>
                    <pic:cNvPicPr/>
                  </pic:nvPicPr>
                  <pic:blipFill>
                    <a:blip r:embed="rId31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11" name="index-136_2.png" descr="index-136_2.png"/>
            <wp:cNvGraphicFramePr>
              <a:graphicFrameLocks noChangeAspect="1"/>
            </wp:cNvGraphicFramePr>
            <a:graphic>
              <a:graphicData uri="http://schemas.openxmlformats.org/drawingml/2006/picture">
                <pic:pic>
                  <pic:nvPicPr>
                    <pic:cNvPr id="0" name="index-136_2.png" descr="index-136_2.png"/>
                    <pic:cNvPicPr/>
                  </pic:nvPicPr>
                  <pic:blipFill>
                    <a:blip r:embed="rId315"/>
                    <a:stretch>
                      <a:fillRect/>
                    </a:stretch>
                  </pic:blipFill>
                  <pic:spPr>
                    <a:xfrm>
                      <a:off x="0" y="0"/>
                      <a:ext cx="914400" cy="444500"/>
                    </a:xfrm>
                    <a:prstGeom prst="rect">
                      <a:avLst/>
                    </a:prstGeom>
                  </pic:spPr>
                </pic:pic>
              </a:graphicData>
            </a:graphic>
          </wp:anchor>
        </w:drawing>
      </w:r>
    </w:p>
    <w:p>
      <w:pPr>
        <w:pStyle w:val="0 Block"/>
      </w:pPr>
    </w:p>
    <w:p>
      <w:bookmarkStart w:id="143" w:name="Chapter_5_12"/>
      <w:pPr>
        <w:pStyle w:val="Heading 1"/>
        <w:pageBreakBefore w:val="on"/>
      </w:pPr>
      <w:r>
        <w:t>Chapter 5</w:t>
      </w:r>
      <w:bookmarkEnd w:id="143"/>
    </w:p>
    <w:p>
      <w:pPr>
        <w:pStyle w:val="Para 25"/>
      </w:pPr>
      <w:r>
        <w:t/>
      </w:r>
    </w:p>
    <w:p>
      <w:pPr>
        <w:pStyle w:val="Para 09"/>
      </w:pPr>
      <w:r>
        <w:t xml:space="preserve">CACLS </w:t>
      </w:r>
    </w:p>
    <w:p>
      <w:pPr>
        <w:pStyle w:val="Para 25"/>
      </w:pPr>
      <w:r>
        <w:t/>
      </w:r>
    </w:p>
    <w:p>
      <w:pPr>
        <w:pStyle w:val="Normal"/>
      </w:pPr>
      <w:r>
        <w:t xml:space="preserve">The native CACLS command allows ACL modification from the command line. CACLS </w:t>
      </w:r>
    </w:p>
    <w:p>
      <w:pPr>
        <w:pStyle w:val="Normal"/>
      </w:pPr>
      <w:r>
        <w:t xml:space="preserve">supports the following command-line switches: </w:t>
      </w:r>
    </w:p>
    <w:p>
      <w:pPr>
        <w:pStyle w:val="Para 25"/>
      </w:pPr>
      <w:r>
        <w:t/>
      </w:r>
    </w:p>
    <w:p>
      <w:pPr>
        <w:pStyle w:val="Para 04"/>
      </w:pPr>
      <w:r>
        <w:t xml:space="preserve">• /T—Changes ACLs of specified files in the current directory and all subdirectories. </w:t>
      </w:r>
    </w:p>
    <w:p>
      <w:pPr>
        <w:pStyle w:val="Para 25"/>
      </w:pPr>
      <w:r>
        <w:t/>
      </w:r>
    </w:p>
    <w:p>
      <w:pPr>
        <w:pStyle w:val="Para 04"/>
      </w:pPr>
      <w:r>
        <w:t xml:space="preserve">• /E—Edits the ACL instead of replacing it. </w:t>
      </w:r>
    </w:p>
    <w:p>
      <w:pPr>
        <w:pStyle w:val="Para 25"/>
      </w:pPr>
      <w:r>
        <w:t/>
      </w:r>
    </w:p>
    <w:p>
      <w:pPr>
        <w:pStyle w:val="Para 04"/>
      </w:pPr>
      <w:r>
        <w:t xml:space="preserve">• /C—Continues when an access denied error is encountered. </w:t>
      </w:r>
    </w:p>
    <w:p>
      <w:pPr>
        <w:pStyle w:val="Para 25"/>
      </w:pPr>
      <w:r>
        <w:t/>
      </w:r>
    </w:p>
    <w:p>
      <w:pPr>
        <w:pStyle w:val="Para 04"/>
      </w:pPr>
      <w:r>
        <w:t xml:space="preserve">• </w:t>
        <w:t xml:space="preserve">/G user:perm—Grants specified users access rights; perm can be R (read), W (write), C </w:t>
      </w:r>
    </w:p>
    <w:p>
      <w:pPr>
        <w:pStyle w:val="Para 01"/>
      </w:pPr>
      <w:r>
        <w:t xml:space="preserve">(change), or F (full control). </w:t>
      </w:r>
    </w:p>
    <w:p>
      <w:pPr>
        <w:pStyle w:val="Para 25"/>
      </w:pPr>
      <w:r>
        <w:t/>
      </w:r>
    </w:p>
    <w:p>
      <w:pPr>
        <w:pStyle w:val="Para 04"/>
      </w:pPr>
      <w:r>
        <w:t xml:space="preserve">• /R user—Revokes specified user’s access rights (only valid with /E). </w:t>
      </w:r>
    </w:p>
    <w:p>
      <w:pPr>
        <w:pStyle w:val="Para 25"/>
      </w:pPr>
      <w:r>
        <w:t/>
      </w:r>
    </w:p>
    <w:p>
      <w:pPr>
        <w:pStyle w:val="Para 04"/>
      </w:pPr>
      <w:r>
        <w:t xml:space="preserve">• /P user:perm—Replaces the specified user’s access rights; perm can be R (read), W </w:t>
      </w:r>
    </w:p>
    <w:p>
      <w:pPr>
        <w:pStyle w:val="Para 01"/>
      </w:pPr>
      <w:r>
        <w:t xml:space="preserve">(write), C (change), or F (full control). </w:t>
      </w:r>
    </w:p>
    <w:p>
      <w:pPr>
        <w:pStyle w:val="Para 25"/>
      </w:pPr>
      <w:r>
        <w:t/>
      </w:r>
    </w:p>
    <w:p>
      <w:pPr>
        <w:pStyle w:val="Para 04"/>
      </w:pPr>
      <w:r>
        <w:t xml:space="preserve">• /D user—Denies the specified user access. </w:t>
      </w:r>
    </w:p>
    <w:p>
      <w:pPr>
        <w:pStyle w:val="Para 25"/>
      </w:pPr>
      <w:r>
        <w:t/>
      </w:r>
    </w:p>
    <w:p>
      <w:pPr>
        <w:pStyle w:val="Normal"/>
      </w:pPr>
      <w:r>
        <w:t xml:space="preserve">You can use wildcards to specify more than one file in a command. You may also specify more than one user in a command. </w:t>
      </w:r>
    </w:p>
    <w:p>
      <w:pPr>
        <w:pStyle w:val="Para 25"/>
      </w:pPr>
      <w:r>
        <w:t/>
      </w:r>
    </w:p>
    <w:p>
      <w:pPr>
        <w:pStyle w:val="Para 09"/>
      </w:pPr>
      <w:r>
        <w:t xml:space="preserve">XCACLS </w:t>
      </w:r>
    </w:p>
    <w:p>
      <w:pPr>
        <w:pStyle w:val="Para 25"/>
      </w:pPr>
      <w:r>
        <w:t/>
      </w:r>
    </w:p>
    <w:p>
      <w:pPr>
        <w:pStyle w:val="Normal"/>
      </w:pPr>
      <w:r>
        <w:t xml:space="preserve">The XCACLS tool provides further support for modifying ACLs from the command line. In addition to the switches provided by CACLS, XACLS also supports: </w:t>
      </w:r>
    </w:p>
    <w:p>
      <w:pPr>
        <w:pStyle w:val="Para 25"/>
      </w:pPr>
      <w:r>
        <w:t/>
      </w:r>
    </w:p>
    <w:p>
      <w:pPr>
        <w:pStyle w:val="Para 04"/>
      </w:pPr>
      <w:r>
        <w:t xml:space="preserve">• /X—The same as /E except /X affects only the ACL, which the specified users own. </w:t>
      </w:r>
    </w:p>
    <w:p>
      <w:pPr>
        <w:pStyle w:val="Para 25"/>
      </w:pPr>
      <w:r>
        <w:t/>
      </w:r>
    </w:p>
    <w:p>
      <w:pPr>
        <w:pStyle w:val="Para 04"/>
      </w:pPr>
      <w:r>
        <w:t xml:space="preserve">• </w:t>
        <w:t xml:space="preserve">/G user:perm;spec—Grants specified users access rights as CACLS does, but provides </w:t>
      </w:r>
    </w:p>
    <w:p>
      <w:pPr>
        <w:pStyle w:val="Para 01"/>
      </w:pPr>
      <w:r>
        <w:t xml:space="preserve">more options including the ability to modify the ACL for a directory; perm can be R </w:t>
      </w:r>
    </w:p>
    <w:p>
      <w:pPr>
        <w:pStyle w:val="Para 01"/>
      </w:pPr>
      <w:r>
        <w:t xml:space="preserve">(read), C (change), F (full control), P (change permissions), O (take ownership), X </w:t>
      </w:r>
    </w:p>
    <w:p>
      <w:pPr>
        <w:pStyle w:val="Para 01"/>
      </w:pPr>
      <w:r>
        <w:t xml:space="preserve">(execute—special access), E (read—special access), W (write—special access), and D (delete—special access.); spec has the same options as perm and will only be applied to a </w:t>
      </w:r>
    </w:p>
    <w:p>
      <w:pPr>
        <w:pStyle w:val="Para 01"/>
      </w:pPr>
      <w:r>
        <w:t xml:space="preserve">directory. </w:t>
      </w:r>
    </w:p>
    <w:p>
      <w:pPr>
        <w:pStyle w:val="Para 25"/>
      </w:pPr>
      <w:r>
        <w:t/>
      </w:r>
    </w:p>
    <w:p>
      <w:pPr>
        <w:pStyle w:val="Para 04"/>
      </w:pPr>
      <w:r>
        <w:t xml:space="preserve">• </w:t>
        <w:t xml:space="preserve">/P user:perm;spec—Replaces specified user access rights; it accepts the same parameters </w:t>
      </w:r>
    </w:p>
    <w:p>
      <w:pPr>
        <w:pStyle w:val="Para 01"/>
      </w:pPr>
      <w:r>
        <w:t xml:space="preserve">as the /G switch. </w:t>
      </w:r>
    </w:p>
    <w:p>
      <w:pPr>
        <w:pStyle w:val="Para 25"/>
      </w:pPr>
      <w:r>
        <w:t/>
      </w:r>
    </w:p>
    <w:p>
      <w:pPr>
        <w:pStyle w:val="Para 04"/>
      </w:pPr>
      <w:r>
        <w:t xml:space="preserve">• /Y—Replaces user rights without verification. </w:t>
      </w:r>
    </w:p>
    <w:p>
      <w:pPr>
        <w:pStyle w:val="Para 25"/>
      </w:pPr>
      <w:r>
        <w:t/>
      </w:r>
    </w:p>
    <w:p>
      <w:pPr>
        <w:pStyle w:val="Normal"/>
      </w:pPr>
      <w:r>
        <w:t xml:space="preserve">XCACLS is not a native Windows command, but you can download it at no cost from </w:t>
      </w:r>
    </w:p>
    <w:p>
      <w:pPr>
        <w:pStyle w:val="Normal"/>
      </w:pPr>
      <w:r>
        <w:t xml:space="preserve">http://www.microsoft.com/windows2000/techinfo/reskit/tools/existing/xcacls-o.asp. </w:t>
      </w:r>
    </w:p>
    <w:p>
      <w:pPr>
        <w:pStyle w:val="Para 25"/>
      </w:pPr>
      <w:r>
        <w:t/>
      </w:r>
    </w:p>
    <w:p>
      <w:pPr>
        <w:pStyle w:val="Para 17"/>
      </w:pPr>
      <w:r>
        <w:t xml:space="preserve">SuperCACLS </w:t>
      </w:r>
    </w:p>
    <w:p>
      <w:pPr>
        <w:pStyle w:val="Normal"/>
      </w:pPr>
      <w:r>
        <w:t xml:space="preserve">TrustedSystems.com’s SuperCACLS is a third-party tool for command-line manipulation of </w:t>
      </w:r>
    </w:p>
    <w:p>
      <w:pPr>
        <w:pStyle w:val="Normal"/>
      </w:pPr>
      <w:r>
        <w:t xml:space="preserve">ACL settings. It contains a suite of tools including PRACL (for printing ACLs in a simple format </w:t>
      </w:r>
    </w:p>
    <w:p>
      <w:pPr>
        <w:pStyle w:val="Normal"/>
      </w:pPr>
      <w:r>
        <w:t xml:space="preserve">that you can also use as a backup and restore feature), REACL (for replacing ACLs with new ones), MODACL (for modifying, removing, or adding individual ACL entries, leaving other </w:t>
      </w:r>
    </w:p>
    <w:p>
      <w:pPr>
        <w:pStyle w:val="Normal"/>
      </w:pPr>
      <w:r>
        <w:t xml:space="preserve">entries unchanged), and TAKEOWN (for taking ownership of items and optionally granting you </w:t>
      </w:r>
    </w:p>
    <w:p>
      <w:pPr>
        <w:pStyle w:val="Normal"/>
      </w:pPr>
      <w:r>
        <w:t xml:space="preserve">full control). </w:t>
      </w:r>
    </w:p>
    <w:p>
      <w:pPr>
        <w:pStyle w:val="Para 25"/>
      </w:pPr>
      <w:r>
        <w:t/>
      </w:r>
    </w:p>
    <w:p>
      <w:pPr>
        <w:pStyle w:val="Para 02"/>
      </w:pPr>
      <w:r>
        <w:t xml:space="preserve">To learn more about SuperCACLS at http://www.trustedsystems.com/scacls.htm.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12" name="index-137_1.png" descr="index-137_1.png"/>
            <wp:cNvGraphicFramePr>
              <a:graphicFrameLocks noChangeAspect="1"/>
            </wp:cNvGraphicFramePr>
            <a:graphic>
              <a:graphicData uri="http://schemas.openxmlformats.org/drawingml/2006/picture">
                <pic:pic>
                  <pic:nvPicPr>
                    <pic:cNvPr id="0" name="index-137_1.png" descr="index-137_1.png"/>
                    <pic:cNvPicPr/>
                  </pic:nvPicPr>
                  <pic:blipFill>
                    <a:blip r:embed="rId31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13" name="index-137_2.png" descr="index-137_2.png"/>
            <wp:cNvGraphicFramePr>
              <a:graphicFrameLocks noChangeAspect="1"/>
            </wp:cNvGraphicFramePr>
            <a:graphic>
              <a:graphicData uri="http://schemas.openxmlformats.org/drawingml/2006/picture">
                <pic:pic>
                  <pic:nvPicPr>
                    <pic:cNvPr id="0" name="index-137_2.png" descr="index-137_2.png"/>
                    <pic:cNvPicPr/>
                  </pic:nvPicPr>
                  <pic:blipFill>
                    <a:blip r:embed="rId317"/>
                    <a:stretch>
                      <a:fillRect/>
                    </a:stretch>
                  </pic:blipFill>
                  <pic:spPr>
                    <a:xfrm>
                      <a:off x="0" y="0"/>
                      <a:ext cx="914400" cy="444500"/>
                    </a:xfrm>
                    <a:prstGeom prst="rect">
                      <a:avLst/>
                    </a:prstGeom>
                  </pic:spPr>
                </pic:pic>
              </a:graphicData>
            </a:graphic>
          </wp:anchor>
        </w:drawing>
      </w:r>
    </w:p>
    <w:p>
      <w:pPr>
        <w:pStyle w:val="0 Block"/>
      </w:pPr>
    </w:p>
    <w:p>
      <w:bookmarkStart w:id="144" w:name="Chapter_5_13"/>
      <w:pPr>
        <w:pStyle w:val="Heading 1"/>
        <w:pageBreakBefore w:val="on"/>
      </w:pPr>
      <w:r>
        <w:t>Chapter 5</w:t>
      </w:r>
      <w:bookmarkEnd w:id="144"/>
    </w:p>
    <w:p>
      <w:pPr>
        <w:pStyle w:val="Para 25"/>
      </w:pPr>
      <w:r>
        <w:t/>
      </w:r>
    </w:p>
    <w:p>
      <w:pPr>
        <w:pStyle w:val="Para 07"/>
      </w:pPr>
      <w:r>
        <w:t xml:space="preserve">User Rights </w:t>
      </w:r>
    </w:p>
    <w:p>
      <w:pPr>
        <w:pStyle w:val="Normal"/>
      </w:pPr>
      <w:r>
        <w:t xml:space="preserve">User rights dictate which actions a user may perform on an NT and later system. There are </w:t>
      </w:r>
    </w:p>
    <w:p>
      <w:pPr>
        <w:pStyle w:val="Normal"/>
      </w:pPr>
      <w:r>
        <w:t xml:space="preserve">several rights restricted by NT and later systems that you can use to limit what a user can do </w:t>
      </w:r>
    </w:p>
    <w:p>
      <w:pPr>
        <w:pStyle w:val="Normal"/>
      </w:pPr>
      <w:r>
        <w:t xml:space="preserve">without elevated access to the system. Rights are normally assigned at the group level (as </w:t>
      </w:r>
    </w:p>
    <w:p>
      <w:pPr>
        <w:pStyle w:val="Normal"/>
      </w:pPr>
      <w:r>
        <w:t xml:space="preserve">opposed to individual users) and can be assigned from a GUI or command-line interface with various tools made available by Microsoft and other third-party vendors. </w:t>
      </w:r>
    </w:p>
    <w:p>
      <w:pPr>
        <w:pStyle w:val="Para 25"/>
      </w:pPr>
      <w:r>
        <w:t/>
      </w:r>
    </w:p>
    <w:p>
      <w:pPr>
        <w:pStyle w:val="Normal"/>
      </w:pPr>
      <w:r>
        <w:t xml:space="preserve">From within NT, rights are set using the User Manager for Domains (at the domain level) and </w:t>
      </w:r>
    </w:p>
    <w:p>
      <w:pPr>
        <w:pStyle w:val="Normal"/>
      </w:pPr>
      <w:r>
        <w:t xml:space="preserve">User Manager (at the local machine level) tools for defining which groups can perform actions that are restricted by the available user rights. In Win2K and later, there are additional rights that </w:t>
      </w:r>
    </w:p>
    <w:p>
      <w:pPr>
        <w:pStyle w:val="Normal"/>
      </w:pPr>
      <w:r>
        <w:t xml:space="preserve">you can specify by using a Group Policy Object (GPO), which may be assigned to an OU or </w:t>
      </w:r>
    </w:p>
    <w:p>
      <w:pPr>
        <w:pStyle w:val="Normal"/>
      </w:pPr>
      <w:r>
        <w:t xml:space="preserve">even to the entire domain. Finally, there are tools provided to allow for the command-line granting and revoking of user rights. </w:t>
      </w:r>
    </w:p>
    <w:p>
      <w:pPr>
        <w:pStyle w:val="Para 25"/>
      </w:pPr>
      <w:r>
        <w:t/>
      </w:r>
    </w:p>
    <w:p>
      <w:pPr>
        <w:pStyle w:val="Para 09"/>
      </w:pPr>
      <w:r>
        <w:t xml:space="preserve">Group Policy </w:t>
      </w:r>
    </w:p>
    <w:p>
      <w:pPr>
        <w:pStyle w:val="Para 25"/>
      </w:pPr>
      <w:r>
        <w:t/>
      </w:r>
    </w:p>
    <w:p>
      <w:pPr>
        <w:pStyle w:val="Normal"/>
      </w:pPr>
      <w:r>
        <w:t xml:space="preserve">You can specify user rights within any GPO or using the Domain Security Policy snap-in that </w:t>
      </w:r>
    </w:p>
    <w:p>
      <w:pPr>
        <w:pStyle w:val="Normal"/>
      </w:pPr>
      <w:r>
        <w:t xml:space="preserve">modifies the Default Domain Policy, which is a GPO assigned at the domain level. It is customary to place domain-wide security settings in this single policy, including the assignment </w:t>
      </w:r>
    </w:p>
    <w:p>
      <w:pPr>
        <w:pStyle w:val="Normal"/>
      </w:pPr>
      <w:r>
        <w:t xml:space="preserve">of user rights. </w:t>
      </w:r>
    </w:p>
    <w:p>
      <w:pPr>
        <w:pStyle w:val="Para 25"/>
      </w:pPr>
      <w:r>
        <w:t/>
      </w:r>
    </w:p>
    <w:p>
      <w:pPr>
        <w:pStyle w:val="Para 09"/>
      </w:pPr>
      <w:r>
        <w:t xml:space="preserve">NT User Manager </w:t>
      </w:r>
    </w:p>
    <w:p>
      <w:pPr>
        <w:pStyle w:val="Para 25"/>
      </w:pPr>
      <w:r>
        <w:t/>
      </w:r>
    </w:p>
    <w:p>
      <w:pPr>
        <w:pStyle w:val="Normal"/>
      </w:pPr>
      <w:r>
        <w:t xml:space="preserve">In NT, user rights are assigned using the User Manager and User Manager for Domains applets. </w:t>
      </w:r>
    </w:p>
    <w:p>
      <w:pPr>
        <w:pStyle w:val="Normal"/>
      </w:pPr>
      <w:r>
        <w:t xml:space="preserve">To access user rights for a domain, launch User Manager for Domains. From the toolbar, click </w:t>
      </w:r>
    </w:p>
    <w:p>
      <w:pPr>
        <w:pStyle w:val="Normal"/>
      </w:pPr>
      <w:r>
        <w:t xml:space="preserve">Policies, and choose User Rights. From the drop-down box, choose the right you want to grant or restrict (see Figure 5.3).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46300" cy="1460500"/>
            <wp:effectExtent l="0" r="0" t="0" b="0"/>
            <wp:wrapTopAndBottom/>
            <wp:docPr id="314" name="index-138_1.png" descr="index-138_1.png"/>
            <wp:cNvGraphicFramePr>
              <a:graphicFrameLocks noChangeAspect="1"/>
            </wp:cNvGraphicFramePr>
            <a:graphic>
              <a:graphicData uri="http://schemas.openxmlformats.org/drawingml/2006/picture">
                <pic:pic>
                  <pic:nvPicPr>
                    <pic:cNvPr id="0" name="index-138_1.png" descr="index-138_1.png"/>
                    <pic:cNvPicPr/>
                  </pic:nvPicPr>
                  <pic:blipFill>
                    <a:blip r:embed="rId318"/>
                    <a:stretch>
                      <a:fillRect/>
                    </a:stretch>
                  </pic:blipFill>
                  <pic:spPr>
                    <a:xfrm>
                      <a:off x="0" y="0"/>
                      <a:ext cx="2146300" cy="1460500"/>
                    </a:xfrm>
                    <a:prstGeom prst="rect">
                      <a:avLst/>
                    </a:prstGeom>
                  </pic:spPr>
                </pic:pic>
              </a:graphicData>
            </a:graphic>
          </wp:anchor>
        </w:drawing>
      </w:r>
    </w:p>
    <w:p>
      <w:pPr>
        <w:pStyle w:val="Para 25"/>
      </w:pPr>
      <w:r>
        <w:t/>
      </w:r>
    </w:p>
    <w:p>
      <w:pPr>
        <w:pStyle w:val="Para 45"/>
      </w:pPr>
      <w:r>
        <w:t xml:space="preserve"> </w:t>
      </w:r>
    </w:p>
    <w:p>
      <w:pPr>
        <w:pStyle w:val="Para 25"/>
      </w:pPr>
      <w:r>
        <w:t/>
      </w:r>
    </w:p>
    <w:p>
      <w:pPr>
        <w:pStyle w:val="Para 10"/>
      </w:pPr>
      <w:r>
        <w:t xml:space="preserve">Figure 5.3: User rights manipulation in NT.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15" name="index-138_2.png" descr="index-138_2.png"/>
            <wp:cNvGraphicFramePr>
              <a:graphicFrameLocks noChangeAspect="1"/>
            </wp:cNvGraphicFramePr>
            <a:graphic>
              <a:graphicData uri="http://schemas.openxmlformats.org/drawingml/2006/picture">
                <pic:pic>
                  <pic:nvPicPr>
                    <pic:cNvPr id="0" name="index-138_2.png" descr="index-138_2.png"/>
                    <pic:cNvPicPr/>
                  </pic:nvPicPr>
                  <pic:blipFill>
                    <a:blip r:embed="rId31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16" name="index-138_3.png" descr="index-138_3.png"/>
            <wp:cNvGraphicFramePr>
              <a:graphicFrameLocks noChangeAspect="1"/>
            </wp:cNvGraphicFramePr>
            <a:graphic>
              <a:graphicData uri="http://schemas.openxmlformats.org/drawingml/2006/picture">
                <pic:pic>
                  <pic:nvPicPr>
                    <pic:cNvPr id="0" name="index-138_3.png" descr="index-138_3.png"/>
                    <pic:cNvPicPr/>
                  </pic:nvPicPr>
                  <pic:blipFill>
                    <a:blip r:embed="rId320"/>
                    <a:stretch>
                      <a:fillRect/>
                    </a:stretch>
                  </pic:blipFill>
                  <pic:spPr>
                    <a:xfrm>
                      <a:off x="0" y="0"/>
                      <a:ext cx="914400" cy="444500"/>
                    </a:xfrm>
                    <a:prstGeom prst="rect">
                      <a:avLst/>
                    </a:prstGeom>
                  </pic:spPr>
                </pic:pic>
              </a:graphicData>
            </a:graphic>
          </wp:anchor>
        </w:drawing>
      </w:r>
    </w:p>
    <w:p>
      <w:pPr>
        <w:pStyle w:val="0 Block"/>
      </w:pPr>
    </w:p>
    <w:p>
      <w:bookmarkStart w:id="145" w:name="Chapter_5_14"/>
      <w:pPr>
        <w:pStyle w:val="Heading 1"/>
        <w:pageBreakBefore w:val="on"/>
      </w:pPr>
      <w:r>
        <w:t>Chapter 5</w:t>
      </w:r>
      <w:bookmarkEnd w:id="145"/>
    </w:p>
    <w:p>
      <w:pPr>
        <w:pStyle w:val="Para 25"/>
      </w:pPr>
      <w:r>
        <w:t/>
      </w:r>
    </w:p>
    <w:p>
      <w:pPr>
        <w:pStyle w:val="Para 09"/>
      </w:pPr>
      <w:r>
        <w:t xml:space="preserve">NTRights </w:t>
      </w:r>
    </w:p>
    <w:p>
      <w:pPr>
        <w:pStyle w:val="Para 25"/>
      </w:pPr>
      <w:r>
        <w:t/>
      </w:r>
    </w:p>
    <w:p>
      <w:pPr>
        <w:pStyle w:val="Normal"/>
      </w:pPr>
      <w:r>
        <w:t xml:space="preserve">You can use the NTRights utility to deny or grant user rights to users and groups from the </w:t>
      </w:r>
    </w:p>
    <w:p>
      <w:pPr>
        <w:pStyle w:val="Normal"/>
      </w:pPr>
      <w:r>
        <w:t xml:space="preserve">command line. Table 5.2 defines these rights. </w:t>
      </w:r>
    </w:p>
    <w:p>
      <w:pPr>
        <w:pStyle w:val="Para 25"/>
      </w:pPr>
      <w:r>
        <w:t/>
      </w:r>
    </w:p>
    <w:p>
      <w:pPr>
        <w:pStyle w:val="Para 18"/>
      </w:pPr>
      <w:r>
        <w:t xml:space="preserve">Right Definition </w:t>
      </w:r>
    </w:p>
    <w:p>
      <w:pPr>
        <w:pStyle w:val="Para 03"/>
      </w:pPr>
      <w:r>
        <w:t xml:space="preserve">SeAssignPrimaryTokenPrivilege Replace a process-level token </w:t>
      </w:r>
    </w:p>
    <w:p>
      <w:pPr>
        <w:pStyle w:val="Para 03"/>
      </w:pPr>
      <w:r>
        <w:t xml:space="preserve">SeAuditPrivilege </w:t>
      </w:r>
      <w:r>
        <w:rPr>
          <w:rStyle w:val="Text2"/>
        </w:rPr>
        <w:t xml:space="preserve"> </w:t>
      </w:r>
      <w:r>
        <w:t xml:space="preserve">Generate security audits </w:t>
      </w:r>
    </w:p>
    <w:p>
      <w:pPr>
        <w:pStyle w:val="Para 03"/>
      </w:pPr>
      <w:r>
        <w:t xml:space="preserve">SeBackupPrivilege </w:t>
      </w:r>
      <w:r>
        <w:rPr>
          <w:rStyle w:val="Text2"/>
        </w:rPr>
        <w:t xml:space="preserve"> </w:t>
      </w:r>
      <w:r>
        <w:t xml:space="preserve">Back up files and directories </w:t>
      </w:r>
    </w:p>
    <w:p>
      <w:pPr>
        <w:pStyle w:val="Para 03"/>
      </w:pPr>
      <w:r>
        <w:t xml:space="preserve">SeBatchLogonRight </w:t>
      </w:r>
      <w:r>
        <w:rPr>
          <w:rStyle w:val="Text2"/>
        </w:rPr>
        <w:t xml:space="preserve"> </w:t>
      </w:r>
      <w:r>
        <w:t xml:space="preserve">Log on as a batch job </w:t>
      </w:r>
    </w:p>
    <w:p>
      <w:pPr>
        <w:pStyle w:val="Para 03"/>
      </w:pPr>
      <w:r>
        <w:t xml:space="preserve">SeChangeNotifyPrivilege Bypass traverse checking </w:t>
      </w:r>
    </w:p>
    <w:p>
      <w:pPr>
        <w:pStyle w:val="Para 03"/>
      </w:pPr>
      <w:r>
        <w:t xml:space="preserve">SeCreatePagefilePrivilege </w:t>
      </w:r>
      <w:r>
        <w:rPr>
          <w:rStyle w:val="Text2"/>
        </w:rPr>
        <w:t xml:space="preserve"> </w:t>
      </w:r>
      <w:r>
        <w:t xml:space="preserve">Create a pagefile </w:t>
      </w:r>
    </w:p>
    <w:p>
      <w:pPr>
        <w:pStyle w:val="Para 03"/>
      </w:pPr>
      <w:r>
        <w:t xml:space="preserve">SeCreatePermanentPrivilege </w:t>
      </w:r>
      <w:r>
        <w:rPr>
          <w:rStyle w:val="Text2"/>
        </w:rPr>
        <w:t xml:space="preserve"> </w:t>
      </w:r>
      <w:r>
        <w:t xml:space="preserve">Create permanent shared objects </w:t>
      </w:r>
    </w:p>
    <w:p>
      <w:pPr>
        <w:pStyle w:val="Para 03"/>
      </w:pPr>
      <w:r>
        <w:t xml:space="preserve">SeCreateTokenPrivilege </w:t>
      </w:r>
      <w:r>
        <w:rPr>
          <w:rStyle w:val="Text2"/>
        </w:rPr>
        <w:t xml:space="preserve"> </w:t>
      </w:r>
      <w:r>
        <w:t xml:space="preserve">Create a token object </w:t>
      </w:r>
    </w:p>
    <w:p>
      <w:pPr>
        <w:pStyle w:val="Para 03"/>
      </w:pPr>
      <w:r>
        <w:t xml:space="preserve">SeDebugPrivilege Debug </w:t>
        <w:t xml:space="preserve">programs </w:t>
      </w:r>
    </w:p>
    <w:p>
      <w:pPr>
        <w:pStyle w:val="Para 03"/>
      </w:pPr>
      <w:r>
        <w:t xml:space="preserve">SeIncreaseBasePriorityPrivilege </w:t>
      </w:r>
      <w:r>
        <w:rPr>
          <w:rStyle w:val="Text2"/>
        </w:rPr>
        <w:t xml:space="preserve"> </w:t>
      </w:r>
      <w:r>
        <w:t xml:space="preserve">Increase scheduling priority </w:t>
      </w:r>
    </w:p>
    <w:p>
      <w:pPr>
        <w:pStyle w:val="Para 03"/>
      </w:pPr>
      <w:r>
        <w:t xml:space="preserve">SeIncreaseQuotaPrivilege Increase </w:t>
        <w:t xml:space="preserve">quotas </w:t>
      </w:r>
    </w:p>
    <w:p>
      <w:pPr>
        <w:pStyle w:val="Para 03"/>
      </w:pPr>
      <w:r>
        <w:t xml:space="preserve">SeInteractiveLogonRight </w:t>
      </w:r>
      <w:r>
        <w:rPr>
          <w:rStyle w:val="Text2"/>
        </w:rPr>
        <w:t xml:space="preserve"> </w:t>
      </w:r>
      <w:r>
        <w:t xml:space="preserve">Log on locally </w:t>
      </w:r>
    </w:p>
    <w:p>
      <w:pPr>
        <w:pStyle w:val="Para 03"/>
      </w:pPr>
      <w:r>
        <w:t xml:space="preserve">SeLoadDriverPrivilege Load </w:t>
        <w:t xml:space="preserve">and unload device drivers </w:t>
      </w:r>
    </w:p>
    <w:p>
      <w:pPr>
        <w:pStyle w:val="Para 03"/>
      </w:pPr>
      <w:r>
        <w:t xml:space="preserve">SeLockMemoryPrivilege Lock pages in memory </w:t>
      </w:r>
    </w:p>
    <w:p>
      <w:pPr>
        <w:pStyle w:val="Para 03"/>
      </w:pPr>
      <w:r>
        <w:t xml:space="preserve">SeMachineAccountPrivilege </w:t>
      </w:r>
      <w:r>
        <w:rPr>
          <w:rStyle w:val="Text2"/>
        </w:rPr>
        <w:t xml:space="preserve"> </w:t>
      </w:r>
      <w:r>
        <w:t xml:space="preserve">Add workstations to domain </w:t>
      </w:r>
    </w:p>
    <w:p>
      <w:pPr>
        <w:pStyle w:val="Para 03"/>
      </w:pPr>
      <w:r>
        <w:t xml:space="preserve">SeNetworkLogonRight </w:t>
      </w:r>
      <w:r>
        <w:rPr>
          <w:rStyle w:val="Text2"/>
        </w:rPr>
        <w:t xml:space="preserve"> </w:t>
      </w:r>
      <w:r>
        <w:t xml:space="preserve">Access this computer from the network </w:t>
      </w:r>
    </w:p>
    <w:p>
      <w:pPr>
        <w:pStyle w:val="Para 03"/>
      </w:pPr>
      <w:r>
        <w:t xml:space="preserve">SeProfileSingleProcessPrivilege Profile </w:t>
        <w:t xml:space="preserve">single </w:t>
        <w:t xml:space="preserve">process </w:t>
      </w:r>
    </w:p>
    <w:p>
      <w:pPr>
        <w:pStyle w:val="Para 03"/>
      </w:pPr>
      <w:r>
        <w:t xml:space="preserve">SeRemoteShutdownPrivilege Force </w:t>
        <w:t xml:space="preserve">shutdown from a remote system </w:t>
      </w:r>
    </w:p>
    <w:p>
      <w:pPr>
        <w:pStyle w:val="Para 03"/>
      </w:pPr>
      <w:r>
        <w:t xml:space="preserve">SeRestorePrivilege Restore files and directories </w:t>
      </w:r>
    </w:p>
    <w:p>
      <w:pPr>
        <w:pStyle w:val="Para 03"/>
      </w:pPr>
      <w:r>
        <w:t xml:space="preserve">SeSecurityPrivilege </w:t>
      </w:r>
      <w:r>
        <w:rPr>
          <w:rStyle w:val="Text2"/>
        </w:rPr>
        <w:t xml:space="preserve"> </w:t>
      </w:r>
      <w:r>
        <w:t xml:space="preserve">Manage auditing and security log </w:t>
      </w:r>
    </w:p>
    <w:p>
      <w:pPr>
        <w:pStyle w:val="Para 03"/>
      </w:pPr>
      <w:r>
        <w:t xml:space="preserve">SeServiceLogonRight </w:t>
      </w:r>
      <w:r>
        <w:rPr>
          <w:rStyle w:val="Text2"/>
        </w:rPr>
        <w:t xml:space="preserve"> </w:t>
      </w:r>
      <w:r>
        <w:t xml:space="preserve">Log on as a service </w:t>
      </w:r>
    </w:p>
    <w:p>
      <w:pPr>
        <w:pStyle w:val="Para 03"/>
      </w:pPr>
      <w:r>
        <w:t xml:space="preserve">SeShutdownPrivilege </w:t>
      </w:r>
      <w:r>
        <w:rPr>
          <w:rStyle w:val="Text2"/>
        </w:rPr>
        <w:t xml:space="preserve"> </w:t>
      </w:r>
      <w:r>
        <w:t xml:space="preserve">Shut down the system </w:t>
      </w:r>
    </w:p>
    <w:p>
      <w:pPr>
        <w:pStyle w:val="Para 03"/>
      </w:pPr>
      <w:r>
        <w:t xml:space="preserve">SeSystemEnvironmentPrivilege </w:t>
      </w:r>
      <w:r>
        <w:rPr>
          <w:rStyle w:val="Text2"/>
        </w:rPr>
        <w:t xml:space="preserve"> </w:t>
      </w:r>
      <w:r>
        <w:t xml:space="preserve">Modify firmware environment values </w:t>
      </w:r>
    </w:p>
    <w:p>
      <w:pPr>
        <w:pStyle w:val="Para 03"/>
      </w:pPr>
      <w:r>
        <w:t xml:space="preserve">SeSystemProfilePrivilege </w:t>
      </w:r>
      <w:r>
        <w:rPr>
          <w:rStyle w:val="Text2"/>
        </w:rPr>
        <w:t xml:space="preserve"> </w:t>
      </w:r>
      <w:r>
        <w:t xml:space="preserve">Profile system performance </w:t>
      </w:r>
    </w:p>
    <w:p>
      <w:pPr>
        <w:pStyle w:val="Para 03"/>
      </w:pPr>
      <w:r>
        <w:t xml:space="preserve">SeSystemtimePrivilege </w:t>
      </w:r>
      <w:r>
        <w:rPr>
          <w:rStyle w:val="Text2"/>
        </w:rPr>
        <w:t xml:space="preserve"> </w:t>
      </w:r>
      <w:r>
        <w:t xml:space="preserve">Change the system time </w:t>
      </w:r>
    </w:p>
    <w:p>
      <w:pPr>
        <w:pStyle w:val="Para 03"/>
      </w:pPr>
      <w:r>
        <w:t xml:space="preserve">SeTakeOwnershipPrivilege </w:t>
      </w:r>
      <w:r>
        <w:rPr>
          <w:rStyle w:val="Text2"/>
        </w:rPr>
        <w:t xml:space="preserve"> </w:t>
      </w:r>
      <w:r>
        <w:t xml:space="preserve">Take ownership of files or other objects </w:t>
      </w:r>
    </w:p>
    <w:p>
      <w:pPr>
        <w:pStyle w:val="Para 03"/>
      </w:pPr>
      <w:r>
        <w:t xml:space="preserve">SeTcbPrivilege </w:t>
      </w:r>
      <w:r>
        <w:rPr>
          <w:rStyle w:val="Text2"/>
        </w:rPr>
        <w:t xml:space="preserve"> </w:t>
      </w:r>
      <w:r>
        <w:t xml:space="preserve">Act as part of the OS </w:t>
      </w:r>
    </w:p>
    <w:p>
      <w:pPr>
        <w:pStyle w:val="Para 03"/>
      </w:pPr>
      <w:r>
        <w:t xml:space="preserve">SeUnsolicitedInputPrivilege </w:t>
      </w:r>
      <w:r>
        <w:rPr>
          <w:rStyle w:val="Text2"/>
        </w:rPr>
        <w:t xml:space="preserve"> </w:t>
      </w:r>
      <w:r>
        <w:t xml:space="preserve">Read unsolicited input from a terminal </w:t>
      </w:r>
    </w:p>
    <w:p>
      <w:pPr>
        <w:pStyle w:val="Para 46"/>
      </w:pPr>
      <w:r>
        <w:t xml:space="preserve">device </w:t>
      </w:r>
    </w:p>
    <w:p>
      <w:pPr>
        <w:pStyle w:val="Para 25"/>
      </w:pPr>
      <w:r>
        <w:t/>
      </w:r>
    </w:p>
    <w:p>
      <w:pPr>
        <w:pStyle w:val="Para 10"/>
      </w:pPr>
      <w:r>
        <w:t xml:space="preserve">Table 5.2: NTRights command-line rights. </w:t>
      </w:r>
    </w:p>
    <w:p>
      <w:pPr>
        <w:pStyle w:val="Para 25"/>
      </w:pPr>
      <w:r>
        <w:t/>
      </w:r>
    </w:p>
    <w:p>
      <w:pPr>
        <w:pStyle w:val="Para 02"/>
      </w:pPr>
      <w:r>
        <w:t xml:space="preserve">The NTRights.exe utility is included in the NT Server 4.0 Resource Kit, Supplement 3.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17" name="index-139_1.png" descr="index-139_1.png"/>
            <wp:cNvGraphicFramePr>
              <a:graphicFrameLocks noChangeAspect="1"/>
            </wp:cNvGraphicFramePr>
            <a:graphic>
              <a:graphicData uri="http://schemas.openxmlformats.org/drawingml/2006/picture">
                <pic:pic>
                  <pic:nvPicPr>
                    <pic:cNvPr id="0" name="index-139_1.png" descr="index-139_1.png"/>
                    <pic:cNvPicPr/>
                  </pic:nvPicPr>
                  <pic:blipFill>
                    <a:blip r:embed="rId32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18" name="index-139_2.png" descr="index-139_2.png"/>
            <wp:cNvGraphicFramePr>
              <a:graphicFrameLocks noChangeAspect="1"/>
            </wp:cNvGraphicFramePr>
            <a:graphic>
              <a:graphicData uri="http://schemas.openxmlformats.org/drawingml/2006/picture">
                <pic:pic>
                  <pic:nvPicPr>
                    <pic:cNvPr id="0" name="index-139_2.png" descr="index-139_2.png"/>
                    <pic:cNvPicPr/>
                  </pic:nvPicPr>
                  <pic:blipFill>
                    <a:blip r:embed="rId322"/>
                    <a:stretch>
                      <a:fillRect/>
                    </a:stretch>
                  </pic:blipFill>
                  <pic:spPr>
                    <a:xfrm>
                      <a:off x="0" y="0"/>
                      <a:ext cx="914400" cy="444500"/>
                    </a:xfrm>
                    <a:prstGeom prst="rect">
                      <a:avLst/>
                    </a:prstGeom>
                  </pic:spPr>
                </pic:pic>
              </a:graphicData>
            </a:graphic>
          </wp:anchor>
        </w:drawing>
      </w:r>
    </w:p>
    <w:p>
      <w:pPr>
        <w:pStyle w:val="0 Block"/>
      </w:pPr>
    </w:p>
    <w:p>
      <w:bookmarkStart w:id="146" w:name="Chapter_5_15"/>
      <w:pPr>
        <w:pStyle w:val="Heading 1"/>
        <w:pageBreakBefore w:val="on"/>
      </w:pPr>
      <w:r>
        <w:t>Chapter 5</w:t>
      </w:r>
      <w:bookmarkEnd w:id="146"/>
    </w:p>
    <w:p>
      <w:pPr>
        <w:pStyle w:val="Para 25"/>
      </w:pPr>
      <w:r>
        <w:t/>
      </w:r>
    </w:p>
    <w:p>
      <w:pPr>
        <w:pStyle w:val="Para 07"/>
      </w:pPr>
      <w:r>
        <w:t xml:space="preserve">Changing Security Context </w:t>
      </w:r>
    </w:p>
    <w:p>
      <w:pPr>
        <w:pStyle w:val="Normal"/>
      </w:pPr>
      <w:r>
        <w:t xml:space="preserve">Although an administrative or service account may have desired rights and ACL accesses, you </w:t>
      </w:r>
    </w:p>
    <w:p>
      <w:pPr>
        <w:pStyle w:val="Normal"/>
      </w:pPr>
      <w:r>
        <w:t xml:space="preserve">might not want to provide them to users. To make use of such access and rights for a specific </w:t>
      </w:r>
    </w:p>
    <w:p>
      <w:pPr>
        <w:pStyle w:val="Normal"/>
      </w:pPr>
      <w:r>
        <w:t xml:space="preserve">task, you may choose to temporarily change to a user context that does. </w:t>
      </w:r>
    </w:p>
    <w:p>
      <w:pPr>
        <w:pStyle w:val="Para 25"/>
      </w:pPr>
      <w:r>
        <w:t/>
      </w:r>
    </w:p>
    <w:p>
      <w:pPr>
        <w:pStyle w:val="Normal"/>
      </w:pPr>
      <w:r>
        <w:t xml:space="preserve">Changing the security context of a user to that of one with greater access can be a security risk. Some tools require that a name and password be provided in plain text, which you will need to </w:t>
      </w:r>
    </w:p>
    <w:p>
      <w:pPr>
        <w:pStyle w:val="Normal"/>
      </w:pPr>
      <w:r>
        <w:t xml:space="preserve">store in your script or batch file in order to automate such a task. Win2K introduces the RunAs </w:t>
      </w:r>
    </w:p>
    <w:p>
      <w:pPr>
        <w:pStyle w:val="Normal"/>
      </w:pPr>
      <w:r>
        <w:t xml:space="preserve">utility that allows you to execute a process using alternative security credentials by specifying a name and password. RunAs does not accept a password as a parameter, which eliminates silent </w:t>
      </w:r>
    </w:p>
    <w:p>
      <w:pPr>
        <w:pStyle w:val="Normal"/>
      </w:pPr>
      <w:r>
        <w:t xml:space="preserve">automation of this utility. There are, however, other tools available to help you accomplish the </w:t>
      </w:r>
    </w:p>
    <w:p>
      <w:pPr>
        <w:pStyle w:val="Normal"/>
      </w:pPr>
      <w:r>
        <w:t xml:space="preserve">same results, as we will discuss. </w:t>
      </w:r>
    </w:p>
    <w:p>
      <w:pPr>
        <w:pStyle w:val="Para 25"/>
      </w:pPr>
      <w:r>
        <w:t/>
      </w:r>
    </w:p>
    <w:p>
      <w:pPr>
        <w:pStyle w:val="Para 09"/>
      </w:pPr>
      <w:r>
        <w:t xml:space="preserve">The Switch User Utility (SU.EXE) </w:t>
      </w:r>
    </w:p>
    <w:p>
      <w:pPr>
        <w:pStyle w:val="Para 25"/>
      </w:pPr>
      <w:r>
        <w:t/>
      </w:r>
    </w:p>
    <w:p>
      <w:pPr>
        <w:pStyle w:val="Normal"/>
      </w:pPr>
      <w:r>
        <w:t xml:space="preserve">Earlier versions of SU required that the user have several rights that are not standard for regular </w:t>
      </w:r>
    </w:p>
    <w:p>
      <w:pPr>
        <w:pStyle w:val="Para 47"/>
      </w:pPr>
      <w:r>
        <w:rPr>
          <w:rStyle w:val="Text0"/>
        </w:rPr>
        <w:t xml:space="preserve">users, including </w:t>
      </w:r>
      <w:r>
        <w:t>Act as part of the operating system</w:t>
      </w:r>
      <w:r>
        <w:rPr>
          <w:rStyle w:val="Text0"/>
        </w:rPr>
        <w:t xml:space="preserve">, </w:t>
      </w:r>
      <w:r>
        <w:t>Increase Quotas</w:t>
      </w:r>
      <w:r>
        <w:rPr>
          <w:rStyle w:val="Text0"/>
        </w:rPr>
        <w:t xml:space="preserve">, </w:t>
      </w:r>
      <w:r>
        <w:t xml:space="preserve">Replace a process level </w:t>
      </w:r>
    </w:p>
    <w:p>
      <w:pPr>
        <w:pStyle w:val="Normal"/>
      </w:pPr>
      <w:r>
        <w:rPr>
          <w:rStyle w:val="Text0"/>
        </w:rPr>
        <w:t>token</w:t>
      </w:r>
      <w:r>
        <w:t xml:space="preserve">, and </w:t>
      </w:r>
      <w:r>
        <w:rPr>
          <w:rStyle w:val="Text0"/>
        </w:rPr>
        <w:t>Restore files and directories</w:t>
      </w:r>
      <w:r>
        <w:t xml:space="preserve">. In addition to having to supply a username and password in clear text, this utility was often considered to be an undesirable option. The current release </w:t>
      </w:r>
    </w:p>
    <w:p>
      <w:pPr>
        <w:pStyle w:val="Normal"/>
      </w:pPr>
      <w:r>
        <w:t xml:space="preserve">utilizes a client-side service that eliminates the need for additional rights by users. </w:t>
      </w:r>
    </w:p>
    <w:p>
      <w:pPr>
        <w:pStyle w:val="Para 25"/>
      </w:pPr>
      <w:r>
        <w:t/>
      </w:r>
    </w:p>
    <w:p>
      <w:pPr>
        <w:pStyle w:val="Normal"/>
      </w:pPr>
      <w:r>
        <w:t xml:space="preserve">You can install the client-side service using the following command: </w:t>
      </w:r>
    </w:p>
    <w:p>
      <w:pPr>
        <w:pStyle w:val="Para 25"/>
      </w:pPr>
      <w:r>
        <w:t/>
      </w:r>
    </w:p>
    <w:p>
      <w:pPr>
        <w:pStyle w:val="Para 11"/>
      </w:pPr>
      <w:r>
        <w:t xml:space="preserve">suss.exe –install </w:t>
      </w:r>
    </w:p>
    <w:p>
      <w:pPr>
        <w:pStyle w:val="Normal"/>
      </w:pPr>
      <w:r>
        <w:t xml:space="preserve">There are several optional command-line parameters that you can specify to dictate the user </w:t>
      </w:r>
    </w:p>
    <w:p>
      <w:pPr>
        <w:pStyle w:val="Normal"/>
      </w:pPr>
      <w:r>
        <w:t xml:space="preserve">name, user account domain, and, of course, the command to be executed. </w:t>
      </w:r>
    </w:p>
    <w:p>
      <w:pPr>
        <w:pStyle w:val="Para 25"/>
      </w:pPr>
      <w:r>
        <w:t/>
      </w:r>
    </w:p>
    <w:p>
      <w:pPr>
        <w:pStyle w:val="Para 02"/>
      </w:pPr>
      <w:r>
        <w:t xml:space="preserve">The SU utility is available in NT and later resource kits. For more information about the SU utility, see </w:t>
      </w:r>
    </w:p>
    <w:p>
      <w:pPr>
        <w:pStyle w:val="Para 02"/>
      </w:pPr>
      <w:r>
        <w:t xml:space="preserve">SU.TXT included with the SU utility in the Windows resource kit. </w:t>
      </w:r>
    </w:p>
    <w:p>
      <w:pPr>
        <w:pStyle w:val="Para 25"/>
      </w:pPr>
      <w:r>
        <w:t/>
      </w:r>
    </w:p>
    <w:p>
      <w:pPr>
        <w:pStyle w:val="Para 09"/>
      </w:pPr>
      <w:r>
        <w:t xml:space="preserve">TqcRunas </w:t>
      </w:r>
    </w:p>
    <w:p>
      <w:pPr>
        <w:pStyle w:val="Para 25"/>
      </w:pPr>
      <w:r>
        <w:t/>
      </w:r>
    </w:p>
    <w:p>
      <w:pPr>
        <w:pStyle w:val="Normal"/>
      </w:pPr>
      <w:r>
        <w:t xml:space="preserve">Quimeras Software’s TqcRunas is a third-party utility that accepts passwords directly in the </w:t>
      </w:r>
    </w:p>
    <w:p>
      <w:pPr>
        <w:pStyle w:val="Normal"/>
      </w:pPr>
      <w:r>
        <w:t xml:space="preserve">command line. You can use this utility by creating executable modules or by using the scriptable </w:t>
      </w:r>
    </w:p>
    <w:p>
      <w:pPr>
        <w:pStyle w:val="Normal"/>
      </w:pPr>
      <w:r>
        <w:t xml:space="preserve">COM objects provided by the TqcRunas.dll. </w:t>
      </w:r>
    </w:p>
    <w:p>
      <w:pPr>
        <w:pStyle w:val="Para 25"/>
      </w:pPr>
      <w:r>
        <w:t/>
      </w:r>
    </w:p>
    <w:p>
      <w:pPr>
        <w:pStyle w:val="Para 02"/>
      </w:pPr>
      <w:r>
        <w:t xml:space="preserve">To learn more about TqcRunas, visit http://www.quimeras.com/TqcRunAs/tqcrunas.htm. </w:t>
      </w:r>
    </w:p>
    <w:p>
      <w:pPr>
        <w:pStyle w:val="Para 25"/>
      </w:pPr>
      <w:r>
        <w:t/>
      </w:r>
    </w:p>
    <w:p>
      <w:pPr>
        <w:pStyle w:val="Para 02"/>
      </w:pPr>
      <w:r>
        <w:t xml:space="preserve">In Win2K, Microsoft introduced the RunAs command, which allows a specific command to run in a </w:t>
      </w:r>
    </w:p>
    <w:p>
      <w:pPr>
        <w:pStyle w:val="Para 02"/>
      </w:pPr>
      <w:r>
        <w:t xml:space="preserve">specified user context by providing the name and password of the account to be used. Unfortunately, </w:t>
      </w:r>
    </w:p>
    <w:p>
      <w:pPr>
        <w:pStyle w:val="Para 02"/>
      </w:pPr>
      <w:r>
        <w:t xml:space="preserve">the command was specifically designed for manual use and not to be used in a script; the name and </w:t>
      </w:r>
    </w:p>
    <w:p>
      <w:pPr>
        <w:pStyle w:val="Para 02"/>
      </w:pPr>
      <w:r>
        <w:t xml:space="preserve">password cannot be passed as parameters.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19" name="index-140_1.png" descr="index-140_1.png"/>
            <wp:cNvGraphicFramePr>
              <a:graphicFrameLocks noChangeAspect="1"/>
            </wp:cNvGraphicFramePr>
            <a:graphic>
              <a:graphicData uri="http://schemas.openxmlformats.org/drawingml/2006/picture">
                <pic:pic>
                  <pic:nvPicPr>
                    <pic:cNvPr id="0" name="index-140_1.png" descr="index-140_1.png"/>
                    <pic:cNvPicPr/>
                  </pic:nvPicPr>
                  <pic:blipFill>
                    <a:blip r:embed="rId32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20" name="index-140_2.png" descr="index-140_2.png"/>
            <wp:cNvGraphicFramePr>
              <a:graphicFrameLocks noChangeAspect="1"/>
            </wp:cNvGraphicFramePr>
            <a:graphic>
              <a:graphicData uri="http://schemas.openxmlformats.org/drawingml/2006/picture">
                <pic:pic>
                  <pic:nvPicPr>
                    <pic:cNvPr id="0" name="index-140_2.png" descr="index-140_2.png"/>
                    <pic:cNvPicPr/>
                  </pic:nvPicPr>
                  <pic:blipFill>
                    <a:blip r:embed="rId324"/>
                    <a:stretch>
                      <a:fillRect/>
                    </a:stretch>
                  </pic:blipFill>
                  <pic:spPr>
                    <a:xfrm>
                      <a:off x="0" y="0"/>
                      <a:ext cx="914400" cy="444500"/>
                    </a:xfrm>
                    <a:prstGeom prst="rect">
                      <a:avLst/>
                    </a:prstGeom>
                  </pic:spPr>
                </pic:pic>
              </a:graphicData>
            </a:graphic>
          </wp:anchor>
        </w:drawing>
      </w:r>
    </w:p>
    <w:p>
      <w:pPr>
        <w:pStyle w:val="0 Block"/>
      </w:pPr>
    </w:p>
    <w:p>
      <w:bookmarkStart w:id="147" w:name="Chapter_5_16"/>
      <w:pPr>
        <w:pStyle w:val="Heading 1"/>
        <w:pageBreakBefore w:val="on"/>
      </w:pPr>
      <w:r>
        <w:t>Chapter 5</w:t>
      </w:r>
      <w:bookmarkEnd w:id="147"/>
    </w:p>
    <w:p>
      <w:pPr>
        <w:pStyle w:val="Para 25"/>
      </w:pPr>
      <w:r>
        <w:t/>
      </w:r>
    </w:p>
    <w:p>
      <w:pPr>
        <w:pStyle w:val="Para 12"/>
      </w:pPr>
      <w:r>
        <w:t xml:space="preserve">Controlling Removable Media and Restricting Device Access </w:t>
      </w:r>
    </w:p>
    <w:p>
      <w:pPr>
        <w:pStyle w:val="Para 25"/>
      </w:pPr>
      <w:r>
        <w:t/>
      </w:r>
    </w:p>
    <w:p>
      <w:pPr>
        <w:pStyle w:val="Normal"/>
      </w:pPr>
      <w:r>
        <w:t xml:space="preserve">When Internet access is limited or unavailable, managing the security of peripheral devices can </w:t>
      </w:r>
    </w:p>
    <w:p>
      <w:pPr>
        <w:pStyle w:val="Normal"/>
      </w:pPr>
      <w:r>
        <w:t xml:space="preserve">put up an effective roadblock against the introduction of unauthorized files. You can greatly </w:t>
      </w:r>
    </w:p>
    <w:p>
      <w:pPr>
        <w:pStyle w:val="Normal"/>
      </w:pPr>
      <w:r>
        <w:t xml:space="preserve">minimize the introduction of viruses and unauthorized software by preventing their introduction to the network. </w:t>
      </w:r>
    </w:p>
    <w:p>
      <w:pPr>
        <w:pStyle w:val="Para 25"/>
      </w:pPr>
      <w:r>
        <w:t/>
      </w:r>
    </w:p>
    <w:p>
      <w:pPr>
        <w:pStyle w:val="Normal"/>
      </w:pPr>
      <w:r>
        <w:t xml:space="preserve">Restricting access to floppy and CD-ROM drives is a common practice to help prevent both the </w:t>
      </w:r>
    </w:p>
    <w:p>
      <w:pPr>
        <w:pStyle w:val="Normal"/>
      </w:pPr>
      <w:r>
        <w:t xml:space="preserve">introduction and removal of data and software to and from the network. Depending upon how </w:t>
      </w:r>
    </w:p>
    <w:p>
      <w:pPr>
        <w:pStyle w:val="Normal"/>
      </w:pPr>
      <w:r>
        <w:t xml:space="preserve">serious you are about this restriction, you may limit access using software controls or even go so far as removing the devise entirely. </w:t>
      </w:r>
    </w:p>
    <w:p>
      <w:pPr>
        <w:pStyle w:val="Para 25"/>
      </w:pPr>
      <w:r>
        <w:t/>
      </w:r>
    </w:p>
    <w:p>
      <w:pPr>
        <w:pStyle w:val="Normal"/>
      </w:pPr>
      <w:r>
        <w:t xml:space="preserve">Windows does offer policies that control access to floppies and CD-ROM drives over the </w:t>
      </w:r>
    </w:p>
    <w:p>
      <w:pPr>
        <w:pStyle w:val="Normal"/>
      </w:pPr>
      <w:r>
        <w:t xml:space="preserve">netwo k, but it does not yet provide a built-in ability to restrict access to removable media r by the locally logged on user. However, there are resource kit and third-party utilities available to </w:t>
      </w:r>
    </w:p>
    <w:p>
      <w:pPr>
        <w:pStyle w:val="Normal"/>
      </w:pPr>
      <w:r>
        <w:t xml:space="preserve">provide restricted access. </w:t>
      </w:r>
    </w:p>
    <w:p>
      <w:pPr>
        <w:pStyle w:val="Para 25"/>
      </w:pPr>
      <w:r>
        <w:t/>
      </w:r>
    </w:p>
    <w:p>
      <w:pPr>
        <w:pStyle w:val="Para 04"/>
      </w:pPr>
      <w:r>
        <w:t xml:space="preserve">• Floplock—Floplock restricts access to floppy drives, allowing only those that are </w:t>
      </w:r>
    </w:p>
    <w:p>
      <w:pPr>
        <w:pStyle w:val="Para 01"/>
      </w:pPr>
      <w:r>
        <w:t xml:space="preserve">members of the Power Users or Administrators groups to utilize the drive. It is available in both the NT and Win2K resource kits. </w:t>
      </w:r>
    </w:p>
    <w:p>
      <w:pPr>
        <w:pStyle w:val="Para 25"/>
      </w:pPr>
      <w:r>
        <w:t/>
      </w:r>
    </w:p>
    <w:p>
      <w:pPr>
        <w:pStyle w:val="Para 02"/>
      </w:pPr>
      <w:r>
        <w:t xml:space="preserve">To learn more about the Floplock utility, see the Microsoft article “How to Restrict Floppy Disk Drive </w:t>
      </w:r>
    </w:p>
    <w:p>
      <w:pPr>
        <w:pStyle w:val="Para 02"/>
      </w:pPr>
      <w:r>
        <w:t xml:space="preserve">Access Using Floplock Service.” </w:t>
      </w:r>
    </w:p>
    <w:p>
      <w:pPr>
        <w:pStyle w:val="Para 02"/>
      </w:pPr>
      <w:r>
        <w:t xml:space="preserve">Floplock is also available as part of Microsoft’s Zero Administration Kit (ZAK) </w:t>
      </w:r>
    </w:p>
    <w:p>
      <w:pPr>
        <w:pStyle w:val="Para 02"/>
      </w:pPr>
      <w:r>
        <w:t xml:space="preserve">http://www.microsoft.com/ntworkstation/downloads/Recommended/Featured/NTZAK.asp. </w:t>
      </w:r>
    </w:p>
    <w:p>
      <w:pPr>
        <w:pStyle w:val="Para 02"/>
      </w:pPr>
      <w:r>
        <w:t>Full</w:t>
        <w:t xml:space="preserve"> source code for Floplock is available on the Microsoft Win32 Software Development Kit (SDK</w:t>
        <w:t xml:space="preserve">) </w:t>
      </w:r>
    </w:p>
    <w:p>
      <w:pPr>
        <w:pStyle w:val="Para 02"/>
      </w:pPr>
      <w:r>
        <w:t xml:space="preserve">compact disk, in the \q_a\sd_floppy directory. </w:t>
      </w:r>
    </w:p>
    <w:p>
      <w:pPr>
        <w:pStyle w:val="Para 25"/>
      </w:pPr>
      <w:r>
        <w:t/>
      </w:r>
    </w:p>
    <w:p>
      <w:pPr>
        <w:pStyle w:val="Para 04"/>
      </w:pPr>
      <w:r>
        <w:t xml:space="preserve">• </w:t>
        <w:t>DeviceLock—SmartLine’s DeviceLock provides control over which users can acces</w:t>
        <w:t xml:space="preserve">s </w:t>
      </w:r>
    </w:p>
    <w:p>
      <w:pPr>
        <w:pStyle w:val="Para 01"/>
      </w:pPr>
      <w:r>
        <w:t>specified devices (floppies, serial and parallel ports, magnetic and optical disks, CD-</w:t>
      </w:r>
    </w:p>
    <w:p>
      <w:pPr>
        <w:pStyle w:val="Para 01"/>
      </w:pPr>
      <w:r>
        <w:t>ROMs, USB drives, zip drives, and so on) on a local computer. To learn more about</w:t>
      </w:r>
    </w:p>
    <w:p>
      <w:pPr>
        <w:pStyle w:val="Para 01"/>
      </w:pPr>
      <w:r>
        <w:t xml:space="preserve">DeviceLock, visit http://www.protect-me.com/dl/. </w:t>
      </w:r>
    </w:p>
    <w:p>
      <w:pPr>
        <w:pStyle w:val="Para 25"/>
      </w:pPr>
      <w:r>
        <w:t/>
      </w:r>
    </w:p>
    <w:p>
      <w:pPr>
        <w:pStyle w:val="Normal"/>
      </w:pPr>
      <w:r>
        <w:t xml:space="preserve">Some manufacturers (Dell being the first major one) have already begun the move to cease shipping computers with floppy drives. However, CD-ROM burners are very common and </w:t>
      </w:r>
    </w:p>
    <w:p>
      <w:pPr>
        <w:pStyle w:val="Normal"/>
      </w:pPr>
      <w:r>
        <w:t xml:space="preserve">provide a similar risk in the removal of software from a network. </w:t>
      </w:r>
    </w:p>
    <w:p>
      <w:pPr>
        <w:pStyle w:val="Para 25"/>
      </w:pPr>
      <w:r>
        <w:t/>
      </w:r>
    </w:p>
    <w:p>
      <w:pPr>
        <w:pStyle w:val="Para 07"/>
      </w:pPr>
      <w:r>
        <w:t xml:space="preserve">Disable PnP and Other Devices </w:t>
      </w:r>
    </w:p>
    <w:p>
      <w:pPr>
        <w:pStyle w:val="Normal"/>
      </w:pPr>
      <w:r>
        <w:t>With floppies and CD-ROMs removed or restricted, do not overlook Windows PnP support. If a</w:t>
      </w:r>
    </w:p>
    <w:p>
      <w:pPr>
        <w:pStyle w:val="Normal"/>
      </w:pPr>
      <w:r>
        <w:t xml:space="preserve">user sticks a USB memory device into an available USB port, the native support for such a device may even eliminate your ability to simply restrict driver installation. </w:t>
      </w:r>
    </w:p>
    <w:p>
      <w:pPr>
        <w:pStyle w:val="Para 25"/>
      </w:pPr>
      <w:r>
        <w:t/>
      </w:r>
    </w:p>
    <w:p>
      <w:pPr>
        <w:pStyle w:val="Normal"/>
      </w:pPr>
      <w:r>
        <w:t xml:space="preserve">Devices such as the mouse and keyboard are set to start at startup by default; however, you can </w:t>
      </w:r>
    </w:p>
    <w:p>
      <w:pPr>
        <w:pStyle w:val="Normal"/>
      </w:pPr>
      <w:r>
        <w:t xml:space="preserve">edit the registry to modify this behavior. You can set the floppy and CD-ROM not to start in Windows by setting the Start values to 4 in both the Ftdisk and Cdrom keys (under </w:t>
      </w:r>
    </w:p>
    <w:p>
      <w:pPr>
        <w:pStyle w:val="Normal"/>
      </w:pPr>
      <w:r>
        <w:t xml:space="preserve">HKEY_LOCAL_MACHINE\SYSTEM\CurrentControlSet\Services). With these devices set to </w:t>
      </w:r>
    </w:p>
    <w:p>
      <w:pPr>
        <w:pStyle w:val="Normal"/>
      </w:pPr>
      <w:r>
        <w:t xml:space="preserve">not start, the floppy and CD-ROM drives will not appear to the user when in Windows (before Windows loads, they are still accessible). </w:t>
      </w:r>
    </w:p>
    <w:p>
      <w:pPr>
        <w:pStyle w:val="Para 25"/>
      </w:pPr>
      <w:r>
        <w:t/>
      </w:r>
    </w:p>
    <w:p>
      <w:pPr>
        <w:pStyle w:val="Para 02"/>
      </w:pPr>
      <w:r>
        <w:t xml:space="preserve">Scripting will be covered with more detail in Chapter 7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21" name="index-141_1.png" descr="index-141_1.png"/>
            <wp:cNvGraphicFramePr>
              <a:graphicFrameLocks noChangeAspect="1"/>
            </wp:cNvGraphicFramePr>
            <a:graphic>
              <a:graphicData uri="http://schemas.openxmlformats.org/drawingml/2006/picture">
                <pic:pic>
                  <pic:nvPicPr>
                    <pic:cNvPr id="0" name="index-141_1.png" descr="index-141_1.png"/>
                    <pic:cNvPicPr/>
                  </pic:nvPicPr>
                  <pic:blipFill>
                    <a:blip r:embed="rId32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22" name="index-141_2.png" descr="index-141_2.png"/>
            <wp:cNvGraphicFramePr>
              <a:graphicFrameLocks noChangeAspect="1"/>
            </wp:cNvGraphicFramePr>
            <a:graphic>
              <a:graphicData uri="http://schemas.openxmlformats.org/drawingml/2006/picture">
                <pic:pic>
                  <pic:nvPicPr>
                    <pic:cNvPr id="0" name="index-141_2.png" descr="index-141_2.png"/>
                    <pic:cNvPicPr/>
                  </pic:nvPicPr>
                  <pic:blipFill>
                    <a:blip r:embed="rId326"/>
                    <a:stretch>
                      <a:fillRect/>
                    </a:stretch>
                  </pic:blipFill>
                  <pic:spPr>
                    <a:xfrm>
                      <a:off x="0" y="0"/>
                      <a:ext cx="914400" cy="444500"/>
                    </a:xfrm>
                    <a:prstGeom prst="rect">
                      <a:avLst/>
                    </a:prstGeom>
                  </pic:spPr>
                </pic:pic>
              </a:graphicData>
            </a:graphic>
          </wp:anchor>
        </w:drawing>
      </w:r>
    </w:p>
    <w:p>
      <w:pPr>
        <w:pStyle w:val="0 Block"/>
      </w:pPr>
    </w:p>
    <w:p>
      <w:bookmarkStart w:id="148" w:name="Chapter_5_17"/>
      <w:pPr>
        <w:pStyle w:val="Heading 1"/>
        <w:pageBreakBefore w:val="on"/>
      </w:pPr>
      <w:r>
        <w:t>Chapter 5</w:t>
      </w:r>
      <w:bookmarkEnd w:id="148"/>
    </w:p>
    <w:p>
      <w:pPr>
        <w:pStyle w:val="Para 25"/>
      </w:pPr>
      <w:r>
        <w:t/>
      </w:r>
    </w:p>
    <w:p>
      <w:pPr>
        <w:pStyle w:val="Para 07"/>
      </w:pPr>
      <w:r>
        <w:rPr>
          <w:rStyle w:val="Text0"/>
        </w:rPr>
        <w:t xml:space="preserve">The </w:t>
      </w:r>
      <w:r>
        <w:t>Load and unload device drivers</w:t>
      </w:r>
      <w:r>
        <w:rPr>
          <w:rStyle w:val="Text0"/>
        </w:rPr>
        <w:t xml:space="preserve"> Right </w:t>
      </w:r>
    </w:p>
    <w:p>
      <w:pPr>
        <w:pStyle w:val="Para 25"/>
      </w:pPr>
      <w:r>
        <w:t/>
      </w:r>
    </w:p>
    <w:p>
      <w:pPr>
        <w:pStyle w:val="Normal"/>
      </w:pPr>
      <w:r>
        <w:t xml:space="preserve">The </w:t>
      </w:r>
      <w:r>
        <w:rPr>
          <w:rStyle w:val="Text0"/>
        </w:rPr>
        <w:t>Load and unload device drivers</w:t>
      </w:r>
      <w:r>
        <w:t xml:space="preserve"> right (see Figure 5.4) allows users to install and uninstall </w:t>
      </w:r>
    </w:p>
    <w:p>
      <w:pPr>
        <w:pStyle w:val="Normal"/>
      </w:pPr>
      <w:r>
        <w:t xml:space="preserve">PnP device drivers. This right does not affect the ability to install drivers that are not PnP—those may only be installed by Administrators.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463800"/>
            <wp:effectExtent l="0" r="0" t="0" b="0"/>
            <wp:wrapTopAndBottom/>
            <wp:docPr id="323" name="index-142_1.png" descr="index-142_1.png"/>
            <wp:cNvGraphicFramePr>
              <a:graphicFrameLocks noChangeAspect="1"/>
            </wp:cNvGraphicFramePr>
            <a:graphic>
              <a:graphicData uri="http://schemas.openxmlformats.org/drawingml/2006/picture">
                <pic:pic>
                  <pic:nvPicPr>
                    <pic:cNvPr id="0" name="index-142_1.png" descr="index-142_1.png"/>
                    <pic:cNvPicPr/>
                  </pic:nvPicPr>
                  <pic:blipFill>
                    <a:blip r:embed="rId327"/>
                    <a:stretch>
                      <a:fillRect/>
                    </a:stretch>
                  </pic:blipFill>
                  <pic:spPr>
                    <a:xfrm>
                      <a:off x="0" y="0"/>
                      <a:ext cx="3810000" cy="24638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5.4: User right for loading and unloading drivers. </w:t>
      </w:r>
    </w:p>
    <w:p>
      <w:pPr>
        <w:pStyle w:val="Para 25"/>
      </w:pPr>
      <w:r>
        <w:t/>
      </w:r>
    </w:p>
    <w:p>
      <w:pPr>
        <w:pStyle w:val="Para 02"/>
      </w:pPr>
      <w:r>
        <w:t xml:space="preserve">Many PnP devices do not require administrative privileges to be installed. </w:t>
      </w:r>
    </w:p>
    <w:p>
      <w:pPr>
        <w:pStyle w:val="Para 25"/>
      </w:pPr>
      <w:r>
        <w:t/>
      </w:r>
    </w:p>
    <w:p>
      <w:pPr>
        <w:pStyle w:val="Para 09"/>
      </w:pPr>
      <w:r>
        <w:t xml:space="preserve">SecureNT </w:t>
      </w:r>
    </w:p>
    <w:p>
      <w:pPr>
        <w:pStyle w:val="Para 25"/>
      </w:pPr>
      <w:r>
        <w:t/>
      </w:r>
    </w:p>
    <w:p>
      <w:pPr>
        <w:pStyle w:val="Normal"/>
      </w:pPr>
      <w:r>
        <w:t xml:space="preserve">SecureWave SecureNT provides the ability to control end-user access to I/O devices such as the floppy drive, memory sticks, PDAs, USB external storage, CD-ROM, serial and parallel ports, as </w:t>
      </w:r>
    </w:p>
    <w:p>
      <w:pPr>
        <w:pStyle w:val="Normal"/>
      </w:pPr>
      <w:r>
        <w:t xml:space="preserve">well as many other PnP devices. </w:t>
      </w:r>
    </w:p>
    <w:p>
      <w:pPr>
        <w:pStyle w:val="Para 25"/>
      </w:pPr>
      <w:r>
        <w:t/>
      </w:r>
    </w:p>
    <w:p>
      <w:pPr>
        <w:pStyle w:val="Para 02"/>
      </w:pPr>
      <w:r>
        <w:t xml:space="preserve">To learn more about SecureNT, visit http://www.securewave.com/products/securent.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24" name="index-142_2.png" descr="index-142_2.png"/>
            <wp:cNvGraphicFramePr>
              <a:graphicFrameLocks noChangeAspect="1"/>
            </wp:cNvGraphicFramePr>
            <a:graphic>
              <a:graphicData uri="http://schemas.openxmlformats.org/drawingml/2006/picture">
                <pic:pic>
                  <pic:nvPicPr>
                    <pic:cNvPr id="0" name="index-142_2.png" descr="index-142_2.png"/>
                    <pic:cNvPicPr/>
                  </pic:nvPicPr>
                  <pic:blipFill>
                    <a:blip r:embed="rId32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25" name="index-142_3.png" descr="index-142_3.png"/>
            <wp:cNvGraphicFramePr>
              <a:graphicFrameLocks noChangeAspect="1"/>
            </wp:cNvGraphicFramePr>
            <a:graphic>
              <a:graphicData uri="http://schemas.openxmlformats.org/drawingml/2006/picture">
                <pic:pic>
                  <pic:nvPicPr>
                    <pic:cNvPr id="0" name="index-142_3.png" descr="index-142_3.png"/>
                    <pic:cNvPicPr/>
                  </pic:nvPicPr>
                  <pic:blipFill>
                    <a:blip r:embed="rId329"/>
                    <a:stretch>
                      <a:fillRect/>
                    </a:stretch>
                  </pic:blipFill>
                  <pic:spPr>
                    <a:xfrm>
                      <a:off x="0" y="0"/>
                      <a:ext cx="914400" cy="444500"/>
                    </a:xfrm>
                    <a:prstGeom prst="rect">
                      <a:avLst/>
                    </a:prstGeom>
                  </pic:spPr>
                </pic:pic>
              </a:graphicData>
            </a:graphic>
          </wp:anchor>
        </w:drawing>
      </w:r>
    </w:p>
    <w:p>
      <w:pPr>
        <w:pStyle w:val="0 Block"/>
      </w:pPr>
    </w:p>
    <w:p>
      <w:bookmarkStart w:id="149" w:name="Chapter_5_18"/>
      <w:pPr>
        <w:pStyle w:val="Heading 1"/>
        <w:pageBreakBefore w:val="on"/>
      </w:pPr>
      <w:r>
        <w:t>Chapter 5</w:t>
      </w:r>
      <w:bookmarkEnd w:id="149"/>
    </w:p>
    <w:p>
      <w:pPr>
        <w:pStyle w:val="Para 25"/>
      </w:pPr>
      <w:r>
        <w:t/>
      </w:r>
    </w:p>
    <w:p>
      <w:pPr>
        <w:pStyle w:val="Para 12"/>
      </w:pPr>
      <w:r>
        <w:t xml:space="preserve">General Security Recommendations </w:t>
      </w:r>
    </w:p>
    <w:p>
      <w:pPr>
        <w:pStyle w:val="Para 25"/>
      </w:pPr>
      <w:r>
        <w:t/>
      </w:r>
    </w:p>
    <w:p>
      <w:pPr>
        <w:pStyle w:val="Normal"/>
      </w:pPr>
      <w:r>
        <w:t xml:space="preserve">Certain security settings will be more or less important to one organization than another. </w:t>
      </w:r>
    </w:p>
    <w:p>
      <w:pPr>
        <w:pStyle w:val="Normal"/>
      </w:pPr>
      <w:r>
        <w:t xml:space="preserve">However, there are several security practices that make sense for all environments, as we’ll </w:t>
      </w:r>
    </w:p>
    <w:p>
      <w:pPr>
        <w:pStyle w:val="Normal"/>
      </w:pPr>
      <w:r>
        <w:t xml:space="preserve">explore in this section. </w:t>
      </w:r>
    </w:p>
    <w:p>
      <w:pPr>
        <w:pStyle w:val="Para 25"/>
      </w:pPr>
      <w:r>
        <w:t/>
      </w:r>
    </w:p>
    <w:p>
      <w:pPr>
        <w:pStyle w:val="Para 07"/>
      </w:pPr>
      <w:r>
        <w:t xml:space="preserve">Rename Local Administrator Account </w:t>
      </w:r>
    </w:p>
    <w:p>
      <w:pPr>
        <w:pStyle w:val="Normal"/>
      </w:pPr>
      <w:r>
        <w:t xml:space="preserve">By renaming the local administrator account, you make it twice as hard for unauthorized individuals to utilize the account. With a user name and password being the key to full system </w:t>
      </w:r>
    </w:p>
    <w:p>
      <w:pPr>
        <w:pStyle w:val="Normal"/>
      </w:pPr>
      <w:r>
        <w:t xml:space="preserve">access, having an administrator account named Administrator provides unauthorized users half </w:t>
      </w:r>
    </w:p>
    <w:p>
      <w:pPr>
        <w:pStyle w:val="Normal"/>
      </w:pPr>
      <w:r>
        <w:t xml:space="preserve">of what they need to gain access. </w:t>
      </w:r>
    </w:p>
    <w:p>
      <w:pPr>
        <w:pStyle w:val="Para 25"/>
      </w:pPr>
      <w:r>
        <w:t/>
      </w:r>
    </w:p>
    <w:p>
      <w:pPr>
        <w:pStyle w:val="Para 07"/>
      </w:pPr>
      <w:r>
        <w:t xml:space="preserve">Enforce Complex Passwords </w:t>
      </w:r>
    </w:p>
    <w:p>
      <w:pPr>
        <w:pStyle w:val="Normal"/>
      </w:pPr>
      <w:r>
        <w:t xml:space="preserve">NT account policies provide the ability to enforce passwords of a certain length, to enforce how often they must be changed, and to limit reuse of passwords through its User Manager tool (see </w:t>
      </w:r>
    </w:p>
    <w:p>
      <w:pPr>
        <w:pStyle w:val="Normal"/>
      </w:pPr>
      <w:r>
        <w:t xml:space="preserve">Figure 5.5).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21000" cy="2895600"/>
            <wp:effectExtent l="0" r="0" t="0" b="0"/>
            <wp:wrapTopAndBottom/>
            <wp:docPr id="326" name="index-143_1.png" descr="index-143_1.png"/>
            <wp:cNvGraphicFramePr>
              <a:graphicFrameLocks noChangeAspect="1"/>
            </wp:cNvGraphicFramePr>
            <a:graphic>
              <a:graphicData uri="http://schemas.openxmlformats.org/drawingml/2006/picture">
                <pic:pic>
                  <pic:nvPicPr>
                    <pic:cNvPr id="0" name="index-143_1.png" descr="index-143_1.png"/>
                    <pic:cNvPicPr/>
                  </pic:nvPicPr>
                  <pic:blipFill>
                    <a:blip r:embed="rId330"/>
                    <a:stretch>
                      <a:fillRect/>
                    </a:stretch>
                  </pic:blipFill>
                  <pic:spPr>
                    <a:xfrm>
                      <a:off x="0" y="0"/>
                      <a:ext cx="2921000" cy="28956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5.5: NT Account Policy dialog box.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27" name="index-143_2.png" descr="index-143_2.png"/>
            <wp:cNvGraphicFramePr>
              <a:graphicFrameLocks noChangeAspect="1"/>
            </wp:cNvGraphicFramePr>
            <a:graphic>
              <a:graphicData uri="http://schemas.openxmlformats.org/drawingml/2006/picture">
                <pic:pic>
                  <pic:nvPicPr>
                    <pic:cNvPr id="0" name="index-143_2.png" descr="index-143_2.png"/>
                    <pic:cNvPicPr/>
                  </pic:nvPicPr>
                  <pic:blipFill>
                    <a:blip r:embed="rId33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28" name="index-143_3.png" descr="index-143_3.png"/>
            <wp:cNvGraphicFramePr>
              <a:graphicFrameLocks noChangeAspect="1"/>
            </wp:cNvGraphicFramePr>
            <a:graphic>
              <a:graphicData uri="http://schemas.openxmlformats.org/drawingml/2006/picture">
                <pic:pic>
                  <pic:nvPicPr>
                    <pic:cNvPr id="0" name="index-143_3.png" descr="index-143_3.png"/>
                    <pic:cNvPicPr/>
                  </pic:nvPicPr>
                  <pic:blipFill>
                    <a:blip r:embed="rId332"/>
                    <a:stretch>
                      <a:fillRect/>
                    </a:stretch>
                  </pic:blipFill>
                  <pic:spPr>
                    <a:xfrm>
                      <a:off x="0" y="0"/>
                      <a:ext cx="914400" cy="444500"/>
                    </a:xfrm>
                    <a:prstGeom prst="rect">
                      <a:avLst/>
                    </a:prstGeom>
                  </pic:spPr>
                </pic:pic>
              </a:graphicData>
            </a:graphic>
          </wp:anchor>
        </w:drawing>
      </w:r>
    </w:p>
    <w:p>
      <w:pPr>
        <w:pStyle w:val="0 Block"/>
      </w:pPr>
    </w:p>
    <w:p>
      <w:bookmarkStart w:id="150" w:name="Chapter_5_19"/>
      <w:pPr>
        <w:pStyle w:val="Heading 1"/>
        <w:pageBreakBefore w:val="on"/>
      </w:pPr>
      <w:r>
        <w:t>Chapter 5</w:t>
      </w:r>
      <w:bookmarkEnd w:id="150"/>
    </w:p>
    <w:p>
      <w:pPr>
        <w:pStyle w:val="Para 25"/>
      </w:pPr>
      <w:r>
        <w:t/>
      </w:r>
    </w:p>
    <w:p>
      <w:pPr>
        <w:pStyle w:val="Normal"/>
      </w:pPr>
      <w:r>
        <w:t xml:space="preserve">Further, you can enforce complex passwords that must contain at least three of four character </w:t>
      </w:r>
    </w:p>
    <w:p>
      <w:pPr>
        <w:pStyle w:val="Normal"/>
      </w:pPr>
      <w:r>
        <w:t xml:space="preserve">types: upper case, lower case, numbers, and special characters (symbols). In NT SP2, you can </w:t>
      </w:r>
    </w:p>
    <w:p>
      <w:pPr>
        <w:pStyle w:val="Normal"/>
      </w:pPr>
      <w:r>
        <w:t xml:space="preserve">configure this requirement by performing the following steps: </w:t>
      </w:r>
    </w:p>
    <w:p>
      <w:pPr>
        <w:pStyle w:val="Para 25"/>
      </w:pPr>
      <w:r>
        <w:t/>
      </w:r>
    </w:p>
    <w:p>
      <w:pPr>
        <w:pStyle w:val="Para 04"/>
      </w:pPr>
      <w:r>
        <w:rPr>
          <w:rStyle w:val="Text1"/>
        </w:rPr>
        <w:t xml:space="preserve">47. </w:t>
      </w:r>
      <w:r>
        <w:t xml:space="preserve">Copy PASSFILT.DLL from SP2 to %WINDIR%\SYSTEM32. </w:t>
      </w:r>
    </w:p>
    <w:p>
      <w:pPr>
        <w:pStyle w:val="Para 25"/>
      </w:pPr>
      <w:r>
        <w:t/>
      </w:r>
    </w:p>
    <w:p>
      <w:pPr>
        <w:pStyle w:val="Para 04"/>
      </w:pPr>
      <w:r>
        <w:rPr>
          <w:rStyle w:val="Text1"/>
        </w:rPr>
        <w:t xml:space="preserve">48. </w:t>
      </w:r>
      <w:r>
        <w:t xml:space="preserve">Launch a registry editor, and create (or edit) the </w:t>
      </w:r>
    </w:p>
    <w:p>
      <w:pPr>
        <w:pStyle w:val="Para 01"/>
      </w:pPr>
      <w:r>
        <w:t xml:space="preserve">HKLM\SYSTEM\CurrentControlSet\Control\Lsa key. </w:t>
      </w:r>
    </w:p>
    <w:p>
      <w:pPr>
        <w:pStyle w:val="Para 25"/>
      </w:pPr>
      <w:r>
        <w:t/>
      </w:r>
    </w:p>
    <w:p>
      <w:pPr>
        <w:pStyle w:val="Para 04"/>
      </w:pPr>
      <w:r>
        <w:rPr>
          <w:rStyle w:val="Text1"/>
        </w:rPr>
        <w:t xml:space="preserve">49. </w:t>
      </w:r>
      <w:r>
        <w:t xml:space="preserve">Add a REG_MULTI_SZ value called Notification Packages with a value of PASSFILT </w:t>
      </w:r>
    </w:p>
    <w:p>
      <w:pPr>
        <w:pStyle w:val="Para 01"/>
      </w:pPr>
      <w:r>
        <w:t xml:space="preserve">(if the value FPNWCLNT already exists, then edit the value, and add PASSFILT under </w:t>
      </w:r>
    </w:p>
    <w:p>
      <w:pPr>
        <w:pStyle w:val="Para 01"/>
      </w:pPr>
      <w:r>
        <w:t xml:space="preserve">FPNWCLNT). </w:t>
      </w:r>
    </w:p>
    <w:p>
      <w:pPr>
        <w:pStyle w:val="Para 25"/>
      </w:pPr>
      <w:r>
        <w:t/>
      </w:r>
    </w:p>
    <w:p>
      <w:pPr>
        <w:pStyle w:val="Para 04"/>
      </w:pPr>
      <w:r>
        <w:rPr>
          <w:rStyle w:val="Text1"/>
        </w:rPr>
        <w:t xml:space="preserve">50. </w:t>
      </w:r>
      <w:r>
        <w:t xml:space="preserve">Restart the server. </w:t>
      </w:r>
    </w:p>
    <w:p>
      <w:pPr>
        <w:pStyle w:val="Para 25"/>
      </w:pPr>
      <w:r>
        <w:t/>
      </w:r>
    </w:p>
    <w:p>
      <w:pPr>
        <w:pStyle w:val="Normal"/>
      </w:pPr>
      <w:r>
        <w:t xml:space="preserve">For Win2K and later servers, this information may be set within a GPO, typically the Domain </w:t>
      </w:r>
    </w:p>
    <w:p>
      <w:pPr>
        <w:pStyle w:val="Normal"/>
      </w:pPr>
      <w:r>
        <w:t xml:space="preserve">Security Policy GPO, which Figure 5.6 shows.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1422400"/>
            <wp:effectExtent l="0" r="0" t="0" b="0"/>
            <wp:wrapTopAndBottom/>
            <wp:docPr id="329" name="index-144_1.png" descr="index-144_1.png"/>
            <wp:cNvGraphicFramePr>
              <a:graphicFrameLocks noChangeAspect="1"/>
            </wp:cNvGraphicFramePr>
            <a:graphic>
              <a:graphicData uri="http://schemas.openxmlformats.org/drawingml/2006/picture">
                <pic:pic>
                  <pic:nvPicPr>
                    <pic:cNvPr id="0" name="index-144_1.png" descr="index-144_1.png"/>
                    <pic:cNvPicPr/>
                  </pic:nvPicPr>
                  <pic:blipFill>
                    <a:blip r:embed="rId333"/>
                    <a:stretch>
                      <a:fillRect/>
                    </a:stretch>
                  </pic:blipFill>
                  <pic:spPr>
                    <a:xfrm>
                      <a:off x="0" y="0"/>
                      <a:ext cx="3810000" cy="14224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5.6: Domain Security Policy’s password policy settings. </w:t>
      </w:r>
    </w:p>
    <w:p>
      <w:pPr>
        <w:pStyle w:val="Para 25"/>
      </w:pPr>
      <w:r>
        <w:t/>
      </w:r>
    </w:p>
    <w:p>
      <w:pPr>
        <w:pStyle w:val="Para 07"/>
      </w:pPr>
      <w:r>
        <w:t xml:space="preserve">Disable Guest Account </w:t>
      </w:r>
    </w:p>
    <w:p>
      <w:pPr>
        <w:pStyle w:val="Normal"/>
      </w:pPr>
      <w:r>
        <w:t xml:space="preserve">On Win2K and later, the guest account is disabled by default. However, before rolling an image </w:t>
      </w:r>
    </w:p>
    <w:p>
      <w:pPr>
        <w:pStyle w:val="Normal"/>
      </w:pPr>
      <w:r>
        <w:t xml:space="preserve">out across your network, it is wise to give this setting a quick check to ensure that the Guest </w:t>
      </w:r>
    </w:p>
    <w:p>
      <w:pPr>
        <w:pStyle w:val="Normal"/>
      </w:pPr>
      <w:r>
        <w:t xml:space="preserve">account is disabled. With the guest account enabled, users may utilize the guest account to access resources without providing credentials of their own. </w:t>
      </w:r>
    </w:p>
    <w:p>
      <w:pPr>
        <w:pStyle w:val="Para 25"/>
      </w:pPr>
      <w:r>
        <w:t/>
      </w:r>
    </w:p>
    <w:p>
      <w:pPr>
        <w:pStyle w:val="Para 07"/>
      </w:pPr>
      <w:r>
        <w:t xml:space="preserve">Replace the Everyone Group with Authenticated Users on File Shares </w:t>
      </w:r>
    </w:p>
    <w:p>
      <w:pPr>
        <w:pStyle w:val="Normal"/>
      </w:pPr>
      <w:r>
        <w:t xml:space="preserve">Authenticated Users was added with the release of NT SP3 and is included by default within </w:t>
      </w:r>
    </w:p>
    <w:p>
      <w:pPr>
        <w:pStyle w:val="Normal"/>
      </w:pPr>
      <w:r>
        <w:t xml:space="preserve">Win2K. The Everyone group includes even unauthenticated users, whereas the Authenticated </w:t>
      </w:r>
    </w:p>
    <w:p>
      <w:pPr>
        <w:pStyle w:val="Normal"/>
      </w:pPr>
      <w:r>
        <w:t xml:space="preserve">Users group includes only users who have supplied proper credentials. Wherever possible, remove permissions from the Everyone group and replace it with permissions for Authenticated </w:t>
      </w:r>
    </w:p>
    <w:p>
      <w:pPr>
        <w:pStyle w:val="Normal"/>
      </w:pPr>
      <w:r>
        <w:t xml:space="preserve">Users.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30" name="index-144_2.png" descr="index-144_2.png"/>
            <wp:cNvGraphicFramePr>
              <a:graphicFrameLocks noChangeAspect="1"/>
            </wp:cNvGraphicFramePr>
            <a:graphic>
              <a:graphicData uri="http://schemas.openxmlformats.org/drawingml/2006/picture">
                <pic:pic>
                  <pic:nvPicPr>
                    <pic:cNvPr id="0" name="index-144_2.png" descr="index-144_2.png"/>
                    <pic:cNvPicPr/>
                  </pic:nvPicPr>
                  <pic:blipFill>
                    <a:blip r:embed="rId33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31" name="index-144_3.png" descr="index-144_3.png"/>
            <wp:cNvGraphicFramePr>
              <a:graphicFrameLocks noChangeAspect="1"/>
            </wp:cNvGraphicFramePr>
            <a:graphic>
              <a:graphicData uri="http://schemas.openxmlformats.org/drawingml/2006/picture">
                <pic:pic>
                  <pic:nvPicPr>
                    <pic:cNvPr id="0" name="index-144_3.png" descr="index-144_3.png"/>
                    <pic:cNvPicPr/>
                  </pic:nvPicPr>
                  <pic:blipFill>
                    <a:blip r:embed="rId335"/>
                    <a:stretch>
                      <a:fillRect/>
                    </a:stretch>
                  </pic:blipFill>
                  <pic:spPr>
                    <a:xfrm>
                      <a:off x="0" y="0"/>
                      <a:ext cx="914400" cy="444500"/>
                    </a:xfrm>
                    <a:prstGeom prst="rect">
                      <a:avLst/>
                    </a:prstGeom>
                  </pic:spPr>
                </pic:pic>
              </a:graphicData>
            </a:graphic>
          </wp:anchor>
        </w:drawing>
      </w:r>
    </w:p>
    <w:p>
      <w:pPr>
        <w:pStyle w:val="0 Block"/>
      </w:pPr>
    </w:p>
    <w:p>
      <w:bookmarkStart w:id="151" w:name="Chapter_5_20"/>
      <w:pPr>
        <w:pStyle w:val="Heading 1"/>
        <w:pageBreakBefore w:val="on"/>
      </w:pPr>
      <w:r>
        <w:t>Chapter 5</w:t>
      </w:r>
      <w:bookmarkEnd w:id="151"/>
    </w:p>
    <w:p>
      <w:pPr>
        <w:pStyle w:val="Para 25"/>
      </w:pPr>
      <w:r>
        <w:t/>
      </w:r>
    </w:p>
    <w:p>
      <w:pPr>
        <w:pStyle w:val="Para 07"/>
      </w:pPr>
      <w:r>
        <w:t xml:space="preserve">Employ Logon Warning Messages </w:t>
      </w:r>
    </w:p>
    <w:p>
      <w:pPr>
        <w:pStyle w:val="Normal"/>
      </w:pPr>
      <w:r>
        <w:t xml:space="preserve">Security banners are presented when Ctrl+Alt+Delete is pressed, before the logon box is </w:t>
      </w:r>
    </w:p>
    <w:p>
      <w:pPr>
        <w:pStyle w:val="Normal"/>
      </w:pPr>
      <w:r>
        <w:t xml:space="preserve">presented for entering a user name and password. It is customary to make use of this feature in </w:t>
      </w:r>
    </w:p>
    <w:p>
      <w:pPr>
        <w:pStyle w:val="Normal"/>
      </w:pPr>
      <w:r>
        <w:t xml:space="preserve">order to provide a legal warning or notice of how the system may be used.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90800" cy="2133600"/>
            <wp:effectExtent l="0" r="0" t="0" b="0"/>
            <wp:wrapTopAndBottom/>
            <wp:docPr id="332" name="index-145_1.png" descr="index-145_1.png"/>
            <wp:cNvGraphicFramePr>
              <a:graphicFrameLocks noChangeAspect="1"/>
            </wp:cNvGraphicFramePr>
            <a:graphic>
              <a:graphicData uri="http://schemas.openxmlformats.org/drawingml/2006/picture">
                <pic:pic>
                  <pic:nvPicPr>
                    <pic:cNvPr id="0" name="index-145_1.png" descr="index-145_1.png"/>
                    <pic:cNvPicPr/>
                  </pic:nvPicPr>
                  <pic:blipFill>
                    <a:blip r:embed="rId336"/>
                    <a:stretch>
                      <a:fillRect/>
                    </a:stretch>
                  </pic:blipFill>
                  <pic:spPr>
                    <a:xfrm>
                      <a:off x="0" y="0"/>
                      <a:ext cx="2590800" cy="21336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5.7: Example logon security banner. </w:t>
      </w:r>
    </w:p>
    <w:p>
      <w:pPr>
        <w:pStyle w:val="Para 25"/>
      </w:pPr>
      <w:r>
        <w:t/>
      </w:r>
    </w:p>
    <w:p>
      <w:pPr>
        <w:pStyle w:val="Para 07"/>
      </w:pPr>
      <w:r>
        <w:t xml:space="preserve">Hide Last Logged On User Name </w:t>
      </w:r>
    </w:p>
    <w:p>
      <w:pPr>
        <w:pStyle w:val="Normal"/>
      </w:pPr>
      <w:r>
        <w:t xml:space="preserve">Without a policy in place to prevent it, the name of the last user who logged onto the computer is already typed into the Windows logon dialog box and only the password need be entered. </w:t>
      </w:r>
    </w:p>
    <w:p>
      <w:pPr>
        <w:pStyle w:val="Normal"/>
      </w:pPr>
      <w:r>
        <w:t xml:space="preserve">Although this configuration is more convenient, it gives someone attempting to break into the </w:t>
      </w:r>
    </w:p>
    <w:p>
      <w:pPr>
        <w:pStyle w:val="Normal"/>
      </w:pPr>
      <w:r>
        <w:t xml:space="preserve">system half of what he or she needs to gain access. You can disable this setting through the registry or using NT System Policy or Win2K Group Policy. </w:t>
      </w:r>
    </w:p>
    <w:p>
      <w:pPr>
        <w:pStyle w:val="Para 25"/>
      </w:pPr>
      <w:r>
        <w:t/>
      </w:r>
    </w:p>
    <w:p>
      <w:pPr>
        <w:pStyle w:val="Para 07"/>
      </w:pPr>
      <w:r>
        <w:t xml:space="preserve">Password Protect the Screensaver </w:t>
      </w:r>
    </w:p>
    <w:p>
      <w:pPr>
        <w:pStyle w:val="Normal"/>
      </w:pPr>
      <w:r>
        <w:t xml:space="preserve">By enforcing a screensaver timeout period and specifying that the system should lock when the </w:t>
      </w:r>
    </w:p>
    <w:p>
      <w:pPr>
        <w:pStyle w:val="Normal"/>
      </w:pPr>
      <w:r>
        <w:t xml:space="preserve">screensaver activates, you can minimize the possibility of someone sitting down at a machine </w:t>
      </w:r>
    </w:p>
    <w:p>
      <w:pPr>
        <w:pStyle w:val="Normal"/>
      </w:pPr>
      <w:r>
        <w:t xml:space="preserve">and performing actions with another user’s credentials. You can configure this setting through either System Policy or Group Policy, depending upon your environment.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33" name="index-145_2.png" descr="index-145_2.png"/>
            <wp:cNvGraphicFramePr>
              <a:graphicFrameLocks noChangeAspect="1"/>
            </wp:cNvGraphicFramePr>
            <a:graphic>
              <a:graphicData uri="http://schemas.openxmlformats.org/drawingml/2006/picture">
                <pic:pic>
                  <pic:nvPicPr>
                    <pic:cNvPr id="0" name="index-145_2.png" descr="index-145_2.png"/>
                    <pic:cNvPicPr/>
                  </pic:nvPicPr>
                  <pic:blipFill>
                    <a:blip r:embed="rId33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34" name="index-145_3.png" descr="index-145_3.png"/>
            <wp:cNvGraphicFramePr>
              <a:graphicFrameLocks noChangeAspect="1"/>
            </wp:cNvGraphicFramePr>
            <a:graphic>
              <a:graphicData uri="http://schemas.openxmlformats.org/drawingml/2006/picture">
                <pic:pic>
                  <pic:nvPicPr>
                    <pic:cNvPr id="0" name="index-145_3.png" descr="index-145_3.png"/>
                    <pic:cNvPicPr/>
                  </pic:nvPicPr>
                  <pic:blipFill>
                    <a:blip r:embed="rId338"/>
                    <a:stretch>
                      <a:fillRect/>
                    </a:stretch>
                  </pic:blipFill>
                  <pic:spPr>
                    <a:xfrm>
                      <a:off x="0" y="0"/>
                      <a:ext cx="914400" cy="444500"/>
                    </a:xfrm>
                    <a:prstGeom prst="rect">
                      <a:avLst/>
                    </a:prstGeom>
                  </pic:spPr>
                </pic:pic>
              </a:graphicData>
            </a:graphic>
          </wp:anchor>
        </w:drawing>
      </w:r>
    </w:p>
    <w:p>
      <w:pPr>
        <w:pStyle w:val="0 Block"/>
      </w:pPr>
    </w:p>
    <w:p>
      <w:bookmarkStart w:id="152" w:name="Chapter_5_21"/>
      <w:pPr>
        <w:pStyle w:val="Heading 1"/>
        <w:pageBreakBefore w:val="on"/>
      </w:pPr>
      <w:r>
        <w:t>Chapter 5</w:t>
      </w:r>
      <w:bookmarkEnd w:id="152"/>
    </w:p>
    <w:p>
      <w:pPr>
        <w:pStyle w:val="Para 25"/>
      </w:pPr>
      <w:r>
        <w:t/>
      </w:r>
    </w:p>
    <w:p>
      <w:pPr>
        <w:pStyle w:val="Para 07"/>
      </w:pPr>
      <w:r>
        <w:t xml:space="preserve">Enable Auditing </w:t>
      </w:r>
    </w:p>
    <w:p>
      <w:pPr>
        <w:pStyle w:val="Normal"/>
      </w:pPr>
      <w:r>
        <w:t xml:space="preserve">The most basic form of intrusion detection for NT and later is to enable auditing. Doing so will </w:t>
      </w:r>
    </w:p>
    <w:p>
      <w:pPr>
        <w:pStyle w:val="Normal"/>
      </w:pPr>
      <w:r>
        <w:t xml:space="preserve">alert you to changes in account policies, attempted password hacks, unauthorized file access, and </w:t>
      </w:r>
    </w:p>
    <w:p>
      <w:pPr>
        <w:pStyle w:val="Normal"/>
      </w:pPr>
      <w:r>
        <w:t xml:space="preserve">other configurable items. Consider auditing the events that Table 5.3 shows. </w:t>
      </w:r>
    </w:p>
    <w:p>
      <w:pPr>
        <w:pStyle w:val="Para 25"/>
      </w:pPr>
      <w:r>
        <w:t/>
      </w:r>
    </w:p>
    <w:p>
      <w:pPr>
        <w:pStyle w:val="Para 18"/>
      </w:pPr>
      <w:r>
        <w:t xml:space="preserve">Event Setting </w:t>
      </w:r>
    </w:p>
    <w:p>
      <w:pPr>
        <w:pStyle w:val="Para 03"/>
      </w:pPr>
      <w:r>
        <w:t xml:space="preserve">Account logon events </w:t>
      </w:r>
      <w:r>
        <w:rPr>
          <w:rStyle w:val="Text2"/>
        </w:rPr>
        <w:t xml:space="preserve"> </w:t>
      </w:r>
      <w:r>
        <w:t xml:space="preserve">Success, failure </w:t>
      </w:r>
    </w:p>
    <w:p>
      <w:pPr>
        <w:pStyle w:val="Para 03"/>
      </w:pPr>
      <w:r>
        <w:t xml:space="preserve">Account management </w:t>
      </w:r>
      <w:r>
        <w:rPr>
          <w:rStyle w:val="Text2"/>
        </w:rPr>
        <w:t xml:space="preserve"> </w:t>
      </w:r>
      <w:r>
        <w:t xml:space="preserve">Success, failure </w:t>
      </w:r>
    </w:p>
    <w:p>
      <w:pPr>
        <w:pStyle w:val="Para 03"/>
      </w:pPr>
      <w:r>
        <w:t xml:space="preserve">Logon events </w:t>
      </w:r>
      <w:r>
        <w:rPr>
          <w:rStyle w:val="Text2"/>
        </w:rPr>
        <w:t xml:space="preserve"> </w:t>
      </w:r>
      <w:r>
        <w:t xml:space="preserve">Success, failure </w:t>
      </w:r>
    </w:p>
    <w:p>
      <w:pPr>
        <w:pStyle w:val="Para 03"/>
      </w:pPr>
      <w:r>
        <w:t xml:space="preserve">Object access </w:t>
      </w:r>
      <w:r>
        <w:rPr>
          <w:rStyle w:val="Text2"/>
        </w:rPr>
        <w:t xml:space="preserve"> </w:t>
      </w:r>
      <w:r>
        <w:t xml:space="preserve">Success </w:t>
      </w:r>
    </w:p>
    <w:p>
      <w:pPr>
        <w:pStyle w:val="Para 03"/>
      </w:pPr>
      <w:r>
        <w:t xml:space="preserve">Policy change </w:t>
      </w:r>
      <w:r>
        <w:rPr>
          <w:rStyle w:val="Text2"/>
        </w:rPr>
        <w:t xml:space="preserve"> </w:t>
      </w:r>
      <w:r>
        <w:t xml:space="preserve">Success, failure </w:t>
      </w:r>
    </w:p>
    <w:p>
      <w:pPr>
        <w:pStyle w:val="Para 03"/>
      </w:pPr>
      <w:r>
        <w:t xml:space="preserve">Privilege use </w:t>
      </w:r>
      <w:r>
        <w:rPr>
          <w:rStyle w:val="Text2"/>
        </w:rPr>
        <w:t xml:space="preserve"> </w:t>
      </w:r>
      <w:r>
        <w:t xml:space="preserve">Failure </w:t>
      </w:r>
    </w:p>
    <w:p>
      <w:pPr>
        <w:pStyle w:val="Para 03"/>
      </w:pPr>
      <w:r>
        <w:t xml:space="preserve">System events </w:t>
      </w:r>
      <w:r>
        <w:rPr>
          <w:rStyle w:val="Text2"/>
        </w:rPr>
        <w:t xml:space="preserve"> </w:t>
      </w:r>
      <w:r>
        <w:t xml:space="preserve">Success, failure </w:t>
      </w:r>
    </w:p>
    <w:p>
      <w:pPr>
        <w:pStyle w:val="Para 25"/>
      </w:pPr>
      <w:r>
        <w:t/>
      </w:r>
    </w:p>
    <w:p>
      <w:pPr>
        <w:pStyle w:val="Para 10"/>
      </w:pPr>
      <w:r>
        <w:t xml:space="preserve">Table 5.3: Suggested auditing configuration settings. </w:t>
      </w:r>
    </w:p>
    <w:p>
      <w:pPr>
        <w:pStyle w:val="Para 25"/>
      </w:pPr>
      <w:r>
        <w:t/>
      </w:r>
    </w:p>
    <w:p>
      <w:pPr>
        <w:pStyle w:val="Para 07"/>
      </w:pPr>
      <w:r>
        <w:t xml:space="preserve">Use RunAs </w:t>
      </w:r>
    </w:p>
    <w:p>
      <w:pPr>
        <w:pStyle w:val="Normal"/>
      </w:pPr>
      <w:r>
        <w:t xml:space="preserve">Using the Win2K and later RunAs command will allow you to perform the functions that require administrative access while logged on as a user with normal access. One reason to avoid being </w:t>
      </w:r>
    </w:p>
    <w:p>
      <w:pPr>
        <w:pStyle w:val="Normal"/>
      </w:pPr>
      <w:r>
        <w:t xml:space="preserve">logged on as an administrator unnecessarily is that any viruses or malicious code you should </w:t>
      </w:r>
    </w:p>
    <w:p>
      <w:pPr>
        <w:pStyle w:val="Normal"/>
      </w:pPr>
      <w:r>
        <w:t xml:space="preserve">encounter will run in the security context in which you are logged on. With administrative permissions, such a situation has the potential to be far more damaging not only to your system </w:t>
      </w:r>
    </w:p>
    <w:p>
      <w:pPr>
        <w:pStyle w:val="Normal"/>
      </w:pPr>
      <w:r>
        <w:t xml:space="preserve">but to others on the network. </w:t>
      </w:r>
    </w:p>
    <w:p>
      <w:pPr>
        <w:pStyle w:val="Para 25"/>
      </w:pPr>
      <w:r>
        <w:t/>
      </w:r>
    </w:p>
    <w:p>
      <w:pPr>
        <w:pStyle w:val="Para 12"/>
      </w:pPr>
      <w:r>
        <w:t xml:space="preserve">Examining Your Security </w:t>
      </w:r>
    </w:p>
    <w:p>
      <w:pPr>
        <w:pStyle w:val="Para 25"/>
      </w:pPr>
      <w:r>
        <w:t/>
      </w:r>
    </w:p>
    <w:p>
      <w:pPr>
        <w:pStyle w:val="Normal"/>
      </w:pPr>
      <w:r>
        <w:t xml:space="preserve">Once you’ve implemented your desired security settings on your systems, it’s time to check </w:t>
      </w:r>
    </w:p>
    <w:p>
      <w:pPr>
        <w:pStyle w:val="Normal"/>
      </w:pPr>
      <w:r>
        <w:t xml:space="preserve">whether you missed anything. After systems have been in use for a few months, do they still comply with your desired settings? You’ve implemented different security policies to several </w:t>
      </w:r>
    </w:p>
    <w:p>
      <w:pPr>
        <w:pStyle w:val="Normal"/>
      </w:pPr>
      <w:r>
        <w:t xml:space="preserve">OUs via Group Policy, do they conflict? Always perform periodic checks and be aware of the </w:t>
      </w:r>
    </w:p>
    <w:p>
      <w:pPr>
        <w:pStyle w:val="Normal"/>
      </w:pPr>
      <w:r>
        <w:t xml:space="preserve">tools you can use to troubleshoot conflicts. In this section, we will discuss some of the tools available to help you do just that. </w:t>
      </w:r>
    </w:p>
    <w:p>
      <w:pPr>
        <w:pStyle w:val="Para 25"/>
      </w:pPr>
      <w:r>
        <w:t/>
      </w:r>
    </w:p>
    <w:p>
      <w:pPr>
        <w:pStyle w:val="Para 07"/>
      </w:pPr>
      <w:r>
        <w:t xml:space="preserve">Microsoft Baseline Security Analyzer </w:t>
      </w:r>
    </w:p>
    <w:p>
      <w:pPr>
        <w:pStyle w:val="Normal"/>
      </w:pPr>
      <w:r>
        <w:t xml:space="preserve">The Microsoft Baseline Security Analyzer checks computers running NT 4.0, Win2K, and </w:t>
      </w:r>
    </w:p>
    <w:p>
      <w:pPr>
        <w:pStyle w:val="Normal"/>
      </w:pPr>
      <w:r>
        <w:t xml:space="preserve">Windows XP for common security issues. The tool provides recommendations and is useful for </w:t>
      </w:r>
    </w:p>
    <w:p>
      <w:pPr>
        <w:pStyle w:val="Normal"/>
      </w:pPr>
      <w:r>
        <w:t xml:space="preserve">identifying misconfigurations—it focuses on items that are appropriately set by default. IN addition, it lets you scan remote systems (provided you have access); thus, in a large </w:t>
      </w:r>
    </w:p>
    <w:p>
      <w:pPr>
        <w:pStyle w:val="Normal"/>
      </w:pPr>
      <w:r>
        <w:t xml:space="preserve">environment in which systems are not well managed, this tool can be very helpful in identifying </w:t>
      </w:r>
    </w:p>
    <w:p>
      <w:pPr>
        <w:pStyle w:val="Normal"/>
      </w:pPr>
      <w:r>
        <w:t xml:space="preserve">problems you might have otherwise assumed were not an issue for your network. It provides a HTML view as well as links to what it scanned and how to correct any problems (see Figure </w:t>
      </w:r>
    </w:p>
    <w:p>
      <w:pPr>
        <w:pStyle w:val="Normal"/>
      </w:pPr>
      <w:r>
        <w:t xml:space="preserve">5.8).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35" name="index-146_1.png" descr="index-146_1.png"/>
            <wp:cNvGraphicFramePr>
              <a:graphicFrameLocks noChangeAspect="1"/>
            </wp:cNvGraphicFramePr>
            <a:graphic>
              <a:graphicData uri="http://schemas.openxmlformats.org/drawingml/2006/picture">
                <pic:pic>
                  <pic:nvPicPr>
                    <pic:cNvPr id="0" name="index-146_1.png" descr="index-146_1.png"/>
                    <pic:cNvPicPr/>
                  </pic:nvPicPr>
                  <pic:blipFill>
                    <a:blip r:embed="rId33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36" name="index-146_2.png" descr="index-146_2.png"/>
            <wp:cNvGraphicFramePr>
              <a:graphicFrameLocks noChangeAspect="1"/>
            </wp:cNvGraphicFramePr>
            <a:graphic>
              <a:graphicData uri="http://schemas.openxmlformats.org/drawingml/2006/picture">
                <pic:pic>
                  <pic:nvPicPr>
                    <pic:cNvPr id="0" name="index-146_2.png" descr="index-146_2.png"/>
                    <pic:cNvPicPr/>
                  </pic:nvPicPr>
                  <pic:blipFill>
                    <a:blip r:embed="rId340"/>
                    <a:stretch>
                      <a:fillRect/>
                    </a:stretch>
                  </pic:blipFill>
                  <pic:spPr>
                    <a:xfrm>
                      <a:off x="0" y="0"/>
                      <a:ext cx="914400" cy="444500"/>
                    </a:xfrm>
                    <a:prstGeom prst="rect">
                      <a:avLst/>
                    </a:prstGeom>
                  </pic:spPr>
                </pic:pic>
              </a:graphicData>
            </a:graphic>
          </wp:anchor>
        </w:drawing>
      </w:r>
    </w:p>
    <w:p>
      <w:pPr>
        <w:pStyle w:val="0 Block"/>
      </w:pPr>
    </w:p>
    <w:p>
      <w:bookmarkStart w:id="153" w:name="Chapter_5_22"/>
      <w:pPr>
        <w:pStyle w:val="Heading 1"/>
        <w:pageBreakBefore w:val="on"/>
      </w:pPr>
      <w:r>
        <w:t>Chapter 5</w:t>
      </w:r>
      <w:bookmarkEnd w:id="15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463800"/>
            <wp:effectExtent l="0" r="0" t="0" b="0"/>
            <wp:wrapTopAndBottom/>
            <wp:docPr id="337" name="index-147_1.png" descr="index-147_1.png"/>
            <wp:cNvGraphicFramePr>
              <a:graphicFrameLocks noChangeAspect="1"/>
            </wp:cNvGraphicFramePr>
            <a:graphic>
              <a:graphicData uri="http://schemas.openxmlformats.org/drawingml/2006/picture">
                <pic:pic>
                  <pic:nvPicPr>
                    <pic:cNvPr id="0" name="index-147_1.png" descr="index-147_1.png"/>
                    <pic:cNvPicPr/>
                  </pic:nvPicPr>
                  <pic:blipFill>
                    <a:blip r:embed="rId341"/>
                    <a:stretch>
                      <a:fillRect/>
                    </a:stretch>
                  </pic:blipFill>
                  <pic:spPr>
                    <a:xfrm>
                      <a:off x="0" y="0"/>
                      <a:ext cx="3810000" cy="24638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5.8: The Microsoft Baseline Security Analyzer. </w:t>
      </w:r>
    </w:p>
    <w:p>
      <w:pPr>
        <w:pStyle w:val="Para 25"/>
      </w:pPr>
      <w:r>
        <w:t/>
      </w:r>
    </w:p>
    <w:p>
      <w:pPr>
        <w:pStyle w:val="Normal"/>
      </w:pPr>
      <w:r>
        <w:t xml:space="preserve">The tool scans and reports on several security-related configuration settings for the Windows OS as well as some specific Microsoft applications such as Outlook and Office. The items processed </w:t>
      </w:r>
    </w:p>
    <w:p>
      <w:pPr>
        <w:pStyle w:val="Normal"/>
      </w:pPr>
      <w:r>
        <w:t xml:space="preserve">as part of a scan of Windows include: </w:t>
      </w:r>
    </w:p>
    <w:p>
      <w:pPr>
        <w:pStyle w:val="Para 25"/>
      </w:pPr>
      <w:r>
        <w:t/>
      </w:r>
    </w:p>
    <w:p>
      <w:pPr>
        <w:pStyle w:val="Para 04"/>
      </w:pPr>
      <w:r>
        <w:t xml:space="preserve">• Checking for missing security updates and service packs </w:t>
      </w:r>
    </w:p>
    <w:p>
      <w:pPr>
        <w:pStyle w:val="Para 25"/>
      </w:pPr>
      <w:r>
        <w:t/>
      </w:r>
    </w:p>
    <w:p>
      <w:pPr>
        <w:pStyle w:val="Para 04"/>
      </w:pPr>
      <w:r>
        <w:t xml:space="preserve">• Checking for account password expirations </w:t>
      </w:r>
    </w:p>
    <w:p>
      <w:pPr>
        <w:pStyle w:val="Para 25"/>
      </w:pPr>
      <w:r>
        <w:t/>
      </w:r>
    </w:p>
    <w:p>
      <w:pPr>
        <w:pStyle w:val="Para 04"/>
      </w:pPr>
      <w:r>
        <w:t xml:space="preserve">• Checking for which file system is in use for local hard drives </w:t>
      </w:r>
    </w:p>
    <w:p>
      <w:pPr>
        <w:pStyle w:val="Para 25"/>
      </w:pPr>
      <w:r>
        <w:t/>
      </w:r>
    </w:p>
    <w:p>
      <w:pPr>
        <w:pStyle w:val="Para 04"/>
      </w:pPr>
      <w:r>
        <w:t xml:space="preserve">• Checking to see whether the autologon feature is enabled </w:t>
      </w:r>
    </w:p>
    <w:p>
      <w:pPr>
        <w:pStyle w:val="Para 25"/>
      </w:pPr>
      <w:r>
        <w:t/>
      </w:r>
    </w:p>
    <w:p>
      <w:pPr>
        <w:pStyle w:val="Para 04"/>
      </w:pPr>
      <w:r>
        <w:t xml:space="preserve">• Checking to ensure that the guest account is not enabled </w:t>
      </w:r>
    </w:p>
    <w:p>
      <w:pPr>
        <w:pStyle w:val="Para 25"/>
      </w:pPr>
      <w:r>
        <w:t/>
      </w:r>
    </w:p>
    <w:p>
      <w:pPr>
        <w:pStyle w:val="Para 04"/>
      </w:pPr>
      <w:r>
        <w:t xml:space="preserve">• </w:t>
        <w:t xml:space="preserve">Checking the RestrictAnonymous registry key settings (dictates access for anonymous </w:t>
      </w:r>
    </w:p>
    <w:p>
      <w:pPr>
        <w:pStyle w:val="Para 01"/>
      </w:pPr>
      <w:r>
        <w:t xml:space="preserve">users) </w:t>
      </w:r>
    </w:p>
    <w:p>
      <w:pPr>
        <w:pStyle w:val="Para 25"/>
      </w:pPr>
      <w:r>
        <w:t/>
      </w:r>
    </w:p>
    <w:p>
      <w:pPr>
        <w:pStyle w:val="Para 04"/>
      </w:pPr>
      <w:r>
        <w:t xml:space="preserve">• Checking the number of local Administrator accounts (should be only one or two) </w:t>
      </w:r>
    </w:p>
    <w:p>
      <w:pPr>
        <w:pStyle w:val="Para 25"/>
      </w:pPr>
      <w:r>
        <w:t/>
      </w:r>
    </w:p>
    <w:p>
      <w:pPr>
        <w:pStyle w:val="Para 04"/>
      </w:pPr>
      <w:r>
        <w:t xml:space="preserve">• Checking for blank or simple local user account passwords </w:t>
      </w:r>
    </w:p>
    <w:p>
      <w:pPr>
        <w:pStyle w:val="Para 25"/>
      </w:pPr>
      <w:r>
        <w:t/>
      </w:r>
    </w:p>
    <w:p>
      <w:pPr>
        <w:pStyle w:val="Para 04"/>
      </w:pPr>
      <w:r>
        <w:t xml:space="preserve">• Checking to ensure that there no unnecessary services are running </w:t>
      </w:r>
    </w:p>
    <w:p>
      <w:pPr>
        <w:pStyle w:val="Para 25"/>
      </w:pPr>
      <w:r>
        <w:t/>
      </w:r>
    </w:p>
    <w:p>
      <w:pPr>
        <w:pStyle w:val="Para 04"/>
      </w:pPr>
      <w:r>
        <w:t xml:space="preserve">• Listing the shares present on the local computer </w:t>
      </w:r>
    </w:p>
    <w:p>
      <w:pPr>
        <w:pStyle w:val="Para 25"/>
      </w:pPr>
      <w:r>
        <w:t/>
      </w:r>
    </w:p>
    <w:p>
      <w:pPr>
        <w:pStyle w:val="Para 04"/>
      </w:pPr>
      <w:r>
        <w:t xml:space="preserve">• Checking to see whether auditing is enabled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38" name="index-147_2.png" descr="index-147_2.png"/>
            <wp:cNvGraphicFramePr>
              <a:graphicFrameLocks noChangeAspect="1"/>
            </wp:cNvGraphicFramePr>
            <a:graphic>
              <a:graphicData uri="http://schemas.openxmlformats.org/drawingml/2006/picture">
                <pic:pic>
                  <pic:nvPicPr>
                    <pic:cNvPr id="0" name="index-147_2.png" descr="index-147_2.png"/>
                    <pic:cNvPicPr/>
                  </pic:nvPicPr>
                  <pic:blipFill>
                    <a:blip r:embed="rId34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39" name="index-147_3.png" descr="index-147_3.png"/>
            <wp:cNvGraphicFramePr>
              <a:graphicFrameLocks noChangeAspect="1"/>
            </wp:cNvGraphicFramePr>
            <a:graphic>
              <a:graphicData uri="http://schemas.openxmlformats.org/drawingml/2006/picture">
                <pic:pic>
                  <pic:nvPicPr>
                    <pic:cNvPr id="0" name="index-147_3.png" descr="index-147_3.png"/>
                    <pic:cNvPicPr/>
                  </pic:nvPicPr>
                  <pic:blipFill>
                    <a:blip r:embed="rId343"/>
                    <a:stretch>
                      <a:fillRect/>
                    </a:stretch>
                  </pic:blipFill>
                  <pic:spPr>
                    <a:xfrm>
                      <a:off x="0" y="0"/>
                      <a:ext cx="914400" cy="444500"/>
                    </a:xfrm>
                    <a:prstGeom prst="rect">
                      <a:avLst/>
                    </a:prstGeom>
                  </pic:spPr>
                </pic:pic>
              </a:graphicData>
            </a:graphic>
          </wp:anchor>
        </w:drawing>
      </w:r>
    </w:p>
    <w:p>
      <w:pPr>
        <w:pStyle w:val="0 Block"/>
      </w:pPr>
    </w:p>
    <w:p>
      <w:bookmarkStart w:id="154" w:name="Chapter_5_23"/>
      <w:pPr>
        <w:pStyle w:val="Heading 1"/>
        <w:pageBreakBefore w:val="on"/>
      </w:pPr>
      <w:r>
        <w:t>Chapter 5</w:t>
      </w:r>
      <w:bookmarkEnd w:id="154"/>
    </w:p>
    <w:p>
      <w:pPr>
        <w:pStyle w:val="Para 25"/>
      </w:pPr>
      <w:r>
        <w:t/>
      </w:r>
    </w:p>
    <w:p>
      <w:pPr>
        <w:pStyle w:val="Para 02"/>
      </w:pPr>
      <w:r>
        <w:t xml:space="preserve">The Microsoft Baseline Security Analyzer is available for download at </w:t>
      </w:r>
    </w:p>
    <w:p>
      <w:pPr>
        <w:pStyle w:val="Para 02"/>
      </w:pPr>
      <w:r>
        <w:t xml:space="preserve">http://www.microsoft.com/technet//security/tools/tools/MBSAHome.ASP. </w:t>
      </w:r>
    </w:p>
    <w:p>
      <w:pPr>
        <w:pStyle w:val="Para 25"/>
      </w:pPr>
      <w:r>
        <w:t/>
      </w:r>
    </w:p>
    <w:p>
      <w:pPr>
        <w:pStyle w:val="Para 07"/>
      </w:pPr>
      <w:r>
        <w:t xml:space="preserve">Security Configuration and Analysis </w:t>
      </w:r>
    </w:p>
    <w:p>
      <w:pPr>
        <w:pStyle w:val="Normal"/>
      </w:pPr>
      <w:r>
        <w:t xml:space="preserve">You can use the Security Configuration and Analysis Microsoft Management Console (MMC) </w:t>
      </w:r>
    </w:p>
    <w:p>
      <w:pPr>
        <w:pStyle w:val="Normal"/>
      </w:pPr>
      <w:r>
        <w:t xml:space="preserve">snap-in to compare (or apply) a system with a security template: </w:t>
      </w:r>
    </w:p>
    <w:p>
      <w:pPr>
        <w:pStyle w:val="Para 25"/>
      </w:pPr>
      <w:r>
        <w:t/>
      </w:r>
    </w:p>
    <w:p>
      <w:pPr>
        <w:pStyle w:val="Para 04"/>
      </w:pPr>
      <w:r>
        <w:rPr>
          <w:rStyle w:val="Text1"/>
        </w:rPr>
        <w:t xml:space="preserve">51. </w:t>
      </w:r>
      <w:r>
        <w:t xml:space="preserve">Select Run from the Start menu, and type </w:t>
      </w:r>
    </w:p>
    <w:p>
      <w:pPr>
        <w:pStyle w:val="Para 25"/>
      </w:pPr>
      <w:r>
        <w:t/>
      </w:r>
    </w:p>
    <w:p>
      <w:pPr>
        <w:pStyle w:val="Para 11"/>
      </w:pPr>
      <w:r>
        <w:t xml:space="preserve">MMC </w:t>
      </w:r>
    </w:p>
    <w:p>
      <w:pPr>
        <w:pStyle w:val="Para 01"/>
      </w:pPr>
      <w:r>
        <w:t xml:space="preserve">into the Run text box, then click OK. </w:t>
      </w:r>
    </w:p>
    <w:p>
      <w:pPr>
        <w:pStyle w:val="Para 25"/>
      </w:pPr>
      <w:r>
        <w:t/>
      </w:r>
    </w:p>
    <w:p>
      <w:pPr>
        <w:pStyle w:val="Para 04"/>
      </w:pPr>
      <w:r>
        <w:rPr>
          <w:rStyle w:val="Text1"/>
        </w:rPr>
        <w:t xml:space="preserve">52. </w:t>
      </w:r>
      <w:r>
        <w:t xml:space="preserve">Select Add/Remove Snap-in from the Console menu on the toolbar, then select Security </w:t>
      </w:r>
    </w:p>
    <w:p>
      <w:pPr>
        <w:pStyle w:val="Para 01"/>
      </w:pPr>
      <w:r>
        <w:t xml:space="preserve">Configuration and Analysis, and click Add. </w:t>
      </w:r>
    </w:p>
    <w:p>
      <w:pPr>
        <w:pStyle w:val="Para 25"/>
      </w:pPr>
      <w:r>
        <w:t/>
      </w:r>
    </w:p>
    <w:p>
      <w:pPr>
        <w:pStyle w:val="Para 04"/>
      </w:pPr>
      <w:r>
        <w:rPr>
          <w:rStyle w:val="Text1"/>
        </w:rPr>
        <w:t xml:space="preserve">53. </w:t>
      </w:r>
      <w:r>
        <w:t xml:space="preserve">Click Close, then click OK. </w:t>
      </w:r>
    </w:p>
    <w:p>
      <w:pPr>
        <w:pStyle w:val="Para 25"/>
      </w:pPr>
      <w:r>
        <w:t/>
      </w:r>
    </w:p>
    <w:p>
      <w:pPr>
        <w:pStyle w:val="Para 04"/>
      </w:pPr>
      <w:r>
        <w:rPr>
          <w:rStyle w:val="Text1"/>
        </w:rPr>
        <w:t xml:space="preserve">54. </w:t>
      </w:r>
      <w:r>
        <w:t xml:space="preserve">Right-click the Security and Configuration Analysis node, and select Open Database. </w:t>
      </w:r>
    </w:p>
    <w:p>
      <w:pPr>
        <w:pStyle w:val="Para 01"/>
      </w:pPr>
      <w:r>
        <w:t xml:space="preserve">Here you may type in any name (the security database is just temporary storage for this </w:t>
      </w:r>
    </w:p>
    <w:p>
      <w:pPr>
        <w:pStyle w:val="Para 01"/>
      </w:pPr>
      <w:r>
        <w:t xml:space="preserve">program). You may also make a copy of the Secedit.sdb file from the Winnt\Security\Database folder from a domain server and specify this file to compare </w:t>
      </w:r>
    </w:p>
    <w:p>
      <w:pPr>
        <w:pStyle w:val="Para 01"/>
      </w:pPr>
      <w:r>
        <w:t xml:space="preserve">local settings with that of Group Policy settings. </w:t>
      </w:r>
    </w:p>
    <w:p>
      <w:pPr>
        <w:pStyle w:val="Para 25"/>
      </w:pPr>
      <w:r>
        <w:t/>
      </w:r>
    </w:p>
    <w:p>
      <w:pPr>
        <w:pStyle w:val="Para 04"/>
      </w:pPr>
      <w:r>
        <w:rPr>
          <w:rStyle w:val="Text1"/>
        </w:rPr>
        <w:t xml:space="preserve">55. </w:t>
      </w:r>
      <w:r>
        <w:t xml:space="preserve">Choose a template to import. You can also make your own template using the Security </w:t>
      </w:r>
    </w:p>
    <w:p>
      <w:pPr>
        <w:pStyle w:val="Para 01"/>
      </w:pPr>
      <w:r>
        <w:t xml:space="preserve">Templates MMC snap-in. The template is a database of recommended security settings. </w:t>
      </w:r>
    </w:p>
    <w:p>
      <w:pPr>
        <w:pStyle w:val="Para 01"/>
      </w:pPr>
      <w:r>
        <w:t xml:space="preserve">The following are some of the predefined templates that are available: </w:t>
      </w:r>
    </w:p>
    <w:p>
      <w:pPr>
        <w:pStyle w:val="Para 25"/>
      </w:pPr>
      <w:r>
        <w:t/>
      </w:r>
    </w:p>
    <w:p>
      <w:pPr>
        <w:pStyle w:val="Para 20"/>
      </w:pPr>
      <w:r>
        <w:t xml:space="preserve">• </w:t>
        <w:t xml:space="preserve">basicdc.inf contains basic security settings for an AD domain controller </w:t>
      </w:r>
    </w:p>
    <w:p>
      <w:pPr>
        <w:pStyle w:val="Para 25"/>
      </w:pPr>
      <w:r>
        <w:t/>
      </w:r>
    </w:p>
    <w:p>
      <w:pPr>
        <w:pStyle w:val="Para 20"/>
      </w:pPr>
      <w:r>
        <w:t xml:space="preserve">• basicsv.inf contains basic security settings for a Win2K server </w:t>
      </w:r>
    </w:p>
    <w:p>
      <w:pPr>
        <w:pStyle w:val="Para 25"/>
      </w:pPr>
      <w:r>
        <w:t/>
      </w:r>
    </w:p>
    <w:p>
      <w:pPr>
        <w:pStyle w:val="Para 20"/>
      </w:pPr>
      <w:r>
        <w:t xml:space="preserve">• </w:t>
        <w:t xml:space="preserve">basicwk.inf contains basic security settings for a Win2K Professional </w:t>
      </w:r>
    </w:p>
    <w:p>
      <w:pPr>
        <w:pStyle w:val="Para 22"/>
      </w:pPr>
      <w:r>
        <w:t xml:space="preserve">machine </w:t>
      </w:r>
    </w:p>
    <w:p>
      <w:pPr>
        <w:pStyle w:val="Para 25"/>
      </w:pPr>
      <w:r>
        <w:t/>
      </w:r>
    </w:p>
    <w:p>
      <w:pPr>
        <w:pStyle w:val="Para 08"/>
      </w:pPr>
      <w:r>
        <w:t xml:space="preserve">• </w:t>
        <w:t xml:space="preserve">compatws.inf contains low security settings for a Win2K Pro machine in a </w:t>
      </w:r>
    </w:p>
    <w:p>
      <w:pPr>
        <w:pStyle w:val="Para 22"/>
      </w:pPr>
      <w:r>
        <w:t xml:space="preserve">mixed mode domain (NT compatible) </w:t>
      </w:r>
    </w:p>
    <w:p>
      <w:pPr>
        <w:pStyle w:val="Para 25"/>
      </w:pPr>
      <w:r>
        <w:t/>
      </w:r>
    </w:p>
    <w:p>
      <w:pPr>
        <w:pStyle w:val="Para 20"/>
      </w:pPr>
      <w:r>
        <w:t xml:space="preserve">• </w:t>
        <w:t xml:space="preserve">hisecdc.inf contains high security settings for an AD domain controller </w:t>
      </w:r>
    </w:p>
    <w:p>
      <w:pPr>
        <w:pStyle w:val="Para 25"/>
      </w:pPr>
      <w:r>
        <w:t/>
      </w:r>
    </w:p>
    <w:p>
      <w:pPr>
        <w:pStyle w:val="Para 20"/>
      </w:pPr>
      <w:r>
        <w:t xml:space="preserve">• hisecwk contains high security for a Win2K server </w:t>
      </w:r>
    </w:p>
    <w:p>
      <w:pPr>
        <w:pStyle w:val="Para 25"/>
      </w:pPr>
      <w:r>
        <w:t/>
      </w:r>
    </w:p>
    <w:p>
      <w:pPr>
        <w:pStyle w:val="Para 25"/>
      </w:pPr>
      <w:r>
        <w:t xml:space="preserve">Choose the security template that is appropriate for your situation, and click Open. </w:t>
      </w:r>
    </w:p>
    <w:p>
      <w:pPr>
        <w:pStyle w:val="Para 25"/>
      </w:pPr>
      <w:r>
        <w:t/>
      </w:r>
    </w:p>
    <w:p>
      <w:pPr>
        <w:pStyle w:val="Para 04"/>
      </w:pPr>
      <w:r>
        <w:rPr>
          <w:rStyle w:val="Text1"/>
        </w:rPr>
        <w:t xml:space="preserve">56. </w:t>
      </w:r>
      <w:r>
        <w:t xml:space="preserve">Right-click the Security Analysis and Configuration node in the left pane, and select </w:t>
      </w:r>
    </w:p>
    <w:p>
      <w:pPr>
        <w:pStyle w:val="Para 01"/>
      </w:pPr>
      <w:r>
        <w:t xml:space="preserve">Analyze Computer Now from the resulting menu. </w:t>
      </w:r>
    </w:p>
    <w:p>
      <w:pPr>
        <w:pStyle w:val="Para 25"/>
      </w:pPr>
      <w:r>
        <w:t/>
      </w:r>
    </w:p>
    <w:p>
      <w:pPr>
        <w:pStyle w:val="Normal"/>
      </w:pPr>
      <w:r>
        <w:t xml:space="preserve">The computer’s settings are compared with those that are recommended by the template, and </w:t>
      </w:r>
    </w:p>
    <w:p>
      <w:pPr>
        <w:pStyle w:val="Normal"/>
      </w:pPr>
      <w:r>
        <w:t xml:space="preserve">when complete, you can navigate through all the items in the left pane. A red X will appear in </w:t>
      </w:r>
    </w:p>
    <w:p>
      <w:pPr>
        <w:pStyle w:val="Normal"/>
      </w:pPr>
      <w:r>
        <w:t xml:space="preserve">the right pane for any settings that conflict with the selected template, as Figure 5.9 illustrates.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40" name="index-148_1.png" descr="index-148_1.png"/>
            <wp:cNvGraphicFramePr>
              <a:graphicFrameLocks noChangeAspect="1"/>
            </wp:cNvGraphicFramePr>
            <a:graphic>
              <a:graphicData uri="http://schemas.openxmlformats.org/drawingml/2006/picture">
                <pic:pic>
                  <pic:nvPicPr>
                    <pic:cNvPr id="0" name="index-148_1.png" descr="index-148_1.png"/>
                    <pic:cNvPicPr/>
                  </pic:nvPicPr>
                  <pic:blipFill>
                    <a:blip r:embed="rId34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41" name="index-148_2.png" descr="index-148_2.png"/>
            <wp:cNvGraphicFramePr>
              <a:graphicFrameLocks noChangeAspect="1"/>
            </wp:cNvGraphicFramePr>
            <a:graphic>
              <a:graphicData uri="http://schemas.openxmlformats.org/drawingml/2006/picture">
                <pic:pic>
                  <pic:nvPicPr>
                    <pic:cNvPr id="0" name="index-148_2.png" descr="index-148_2.png"/>
                    <pic:cNvPicPr/>
                  </pic:nvPicPr>
                  <pic:blipFill>
                    <a:blip r:embed="rId345"/>
                    <a:stretch>
                      <a:fillRect/>
                    </a:stretch>
                  </pic:blipFill>
                  <pic:spPr>
                    <a:xfrm>
                      <a:off x="0" y="0"/>
                      <a:ext cx="914400" cy="444500"/>
                    </a:xfrm>
                    <a:prstGeom prst="rect">
                      <a:avLst/>
                    </a:prstGeom>
                  </pic:spPr>
                </pic:pic>
              </a:graphicData>
            </a:graphic>
          </wp:anchor>
        </w:drawing>
      </w:r>
    </w:p>
    <w:p>
      <w:pPr>
        <w:pStyle w:val="0 Block"/>
      </w:pPr>
    </w:p>
    <w:p>
      <w:bookmarkStart w:id="155" w:name="Chapter_5_24"/>
      <w:pPr>
        <w:pStyle w:val="Heading 1"/>
        <w:pageBreakBefore w:val="on"/>
      </w:pPr>
      <w:r>
        <w:t>Chapter 5</w:t>
      </w:r>
      <w:bookmarkEnd w:id="15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14700" cy="1549400"/>
            <wp:effectExtent l="0" r="0" t="0" b="0"/>
            <wp:wrapTopAndBottom/>
            <wp:docPr id="342" name="index-149_1.png" descr="index-149_1.png"/>
            <wp:cNvGraphicFramePr>
              <a:graphicFrameLocks noChangeAspect="1"/>
            </wp:cNvGraphicFramePr>
            <a:graphic>
              <a:graphicData uri="http://schemas.openxmlformats.org/drawingml/2006/picture">
                <pic:pic>
                  <pic:nvPicPr>
                    <pic:cNvPr id="0" name="index-149_1.png" descr="index-149_1.png"/>
                    <pic:cNvPicPr/>
                  </pic:nvPicPr>
                  <pic:blipFill>
                    <a:blip r:embed="rId346"/>
                    <a:stretch>
                      <a:fillRect/>
                    </a:stretch>
                  </pic:blipFill>
                  <pic:spPr>
                    <a:xfrm>
                      <a:off x="0" y="0"/>
                      <a:ext cx="3314700" cy="15494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5.9: The security analysis results view. </w:t>
      </w:r>
    </w:p>
    <w:p>
      <w:pPr>
        <w:pStyle w:val="Para 25"/>
      </w:pPr>
      <w:r>
        <w:t/>
      </w:r>
    </w:p>
    <w:p>
      <w:pPr>
        <w:pStyle w:val="Para 02"/>
      </w:pPr>
      <w:r>
        <w:t xml:space="preserve">The National Institute of Standards and Technology (NIST) and the National Security Agency (NSA) </w:t>
      </w:r>
    </w:p>
    <w:p>
      <w:pPr>
        <w:pStyle w:val="Para 02"/>
      </w:pPr>
      <w:r>
        <w:t xml:space="preserve">have both published Win2K security guidelines as well as security templates that are available online </w:t>
      </w:r>
    </w:p>
    <w:p>
      <w:pPr>
        <w:pStyle w:val="Para 02"/>
      </w:pPr>
      <w:r>
        <w:t xml:space="preserve">at http://csrc.nist.gov/itsec/guidance_W2Kpro.html and http://www.nsa.gov/snac/win2k/index.html, </w:t>
      </w:r>
    </w:p>
    <w:p>
      <w:pPr>
        <w:pStyle w:val="Para 02"/>
      </w:pPr>
      <w:r>
        <w:t xml:space="preserve">respectively. </w:t>
      </w:r>
    </w:p>
    <w:p>
      <w:pPr>
        <w:pStyle w:val="Para 25"/>
      </w:pPr>
      <w:r>
        <w:t/>
      </w:r>
    </w:p>
    <w:p>
      <w:pPr>
        <w:pStyle w:val="Para 07"/>
      </w:pPr>
      <w:r>
        <w:t xml:space="preserve">SecEdit </w:t>
      </w:r>
    </w:p>
    <w:p>
      <w:pPr>
        <w:pStyle w:val="Normal"/>
      </w:pPr>
      <w:r>
        <w:t xml:space="preserve">SecEdit performs the same functions as the Security Configuration and Analysis snap-in, but </w:t>
      </w:r>
    </w:p>
    <w:p>
      <w:pPr>
        <w:pStyle w:val="Normal"/>
      </w:pPr>
      <w:r>
        <w:t xml:space="preserve">does so from the command line. It configures and analyzes system security by comparing a </w:t>
      </w:r>
    </w:p>
    <w:p>
      <w:pPr>
        <w:pStyle w:val="Normal"/>
      </w:pPr>
      <w:r>
        <w:t xml:space="preserve">system’s current configuration with a specified security template. SecEdit supports several </w:t>
      </w:r>
    </w:p>
    <w:p>
      <w:pPr>
        <w:pStyle w:val="Normal"/>
      </w:pPr>
      <w:r>
        <w:t xml:space="preserve">switches. You can use the following switches to analyze security: </w:t>
      </w:r>
    </w:p>
    <w:p>
      <w:pPr>
        <w:pStyle w:val="Para 25"/>
      </w:pPr>
      <w:r>
        <w:t/>
      </w:r>
    </w:p>
    <w:p>
      <w:pPr>
        <w:pStyle w:val="Para 04"/>
      </w:pPr>
      <w:r>
        <w:t xml:space="preserve">• </w:t>
        <w:t xml:space="preserve">/db—Specifies the path and file name of a database that contains the stored configuration </w:t>
      </w:r>
    </w:p>
    <w:p>
      <w:pPr>
        <w:pStyle w:val="Para 01"/>
      </w:pPr>
      <w:r>
        <w:t xml:space="preserve">against which the analysis will be performed </w:t>
      </w:r>
    </w:p>
    <w:p>
      <w:pPr>
        <w:pStyle w:val="Para 25"/>
      </w:pPr>
      <w:r>
        <w:t/>
      </w:r>
    </w:p>
    <w:p>
      <w:pPr>
        <w:pStyle w:val="Para 04"/>
      </w:pPr>
      <w:r>
        <w:t xml:space="preserve">• </w:t>
        <w:t xml:space="preserve">/cfg—Specifies the path and file name for the security template that will be imported into </w:t>
      </w:r>
    </w:p>
    <w:p>
      <w:pPr>
        <w:pStyle w:val="Para 01"/>
      </w:pPr>
      <w:r>
        <w:t xml:space="preserve">the database for analysis </w:t>
      </w:r>
    </w:p>
    <w:p>
      <w:pPr>
        <w:pStyle w:val="Para 25"/>
      </w:pPr>
      <w:r>
        <w:t/>
      </w:r>
    </w:p>
    <w:p>
      <w:pPr>
        <w:pStyle w:val="Para 04"/>
      </w:pPr>
      <w:r>
        <w:t xml:space="preserve">• /log—Specifies the path and file name of the log file for the process </w:t>
      </w:r>
    </w:p>
    <w:p>
      <w:pPr>
        <w:pStyle w:val="Para 25"/>
      </w:pPr>
      <w:r>
        <w:t/>
      </w:r>
    </w:p>
    <w:p>
      <w:pPr>
        <w:pStyle w:val="Para 04"/>
      </w:pPr>
      <w:r>
        <w:t xml:space="preserve">• </w:t>
        <w:t xml:space="preserve">/quiet—Suppresses screen and log output, but the results can be viewed with the Security </w:t>
      </w:r>
    </w:p>
    <w:p>
      <w:pPr>
        <w:pStyle w:val="Para 01"/>
      </w:pPr>
      <w:r>
        <w:t xml:space="preserve">Configuration and Analysis snap-in described earlier. </w:t>
      </w:r>
    </w:p>
    <w:p>
      <w:pPr>
        <w:pStyle w:val="Para 25"/>
      </w:pPr>
      <w:r>
        <w:t/>
      </w:r>
    </w:p>
    <w:p>
      <w:pPr>
        <w:pStyle w:val="Para 02"/>
      </w:pPr>
      <w:r>
        <w:t xml:space="preserve">You can use Secedit.exe with the /REFRESHPOLICY switch to impose Group Policy object settings </w:t>
      </w:r>
    </w:p>
    <w:p>
      <w:pPr>
        <w:pStyle w:val="Para 02"/>
      </w:pPr>
      <w:r>
        <w:t xml:space="preserve">upon a target workstation. To immediately enforce GPO settings located within the machine node of </w:t>
      </w:r>
    </w:p>
    <w:p>
      <w:pPr>
        <w:pStyle w:val="Para 02"/>
      </w:pPr>
      <w:r>
        <w:t xml:space="preserve">relevant GPOs, type </w:t>
      </w:r>
    </w:p>
    <w:p>
      <w:pPr>
        <w:pStyle w:val="Para 25"/>
      </w:pPr>
      <w:r>
        <w:t/>
      </w:r>
    </w:p>
    <w:p>
      <w:pPr>
        <w:pStyle w:val="Para 02"/>
      </w:pPr>
      <w:r>
        <w:t xml:space="preserve">SECEDIT /REFRESHPOLICY MACHINE_POLICY /ENFORCE </w:t>
      </w:r>
    </w:p>
    <w:p>
      <w:pPr>
        <w:pStyle w:val="Para 14"/>
      </w:pPr>
      <w:r>
        <w:t xml:space="preserve"> To do the same for the user node of the relevant GPOs, type </w:t>
      </w:r>
    </w:p>
    <w:p>
      <w:pPr>
        <w:pStyle w:val="Para 25"/>
      </w:pPr>
      <w:r>
        <w:t/>
      </w:r>
    </w:p>
    <w:p>
      <w:pPr>
        <w:pStyle w:val="Para 02"/>
      </w:pPr>
      <w:r>
        <w:t xml:space="preserve">SECEDIT /REFRESHPOLICY USER_POLICY /ENFORCE </w:t>
      </w:r>
    </w:p>
    <w:p>
      <w:pPr>
        <w:pStyle w:val="Para 14"/>
      </w:pPr>
      <w:r>
        <w:t xml:space="preserve"> For Windows XP and later, this functionality has been replaced with the GPUPDATE command.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43" name="index-149_2.png" descr="index-149_2.png"/>
            <wp:cNvGraphicFramePr>
              <a:graphicFrameLocks noChangeAspect="1"/>
            </wp:cNvGraphicFramePr>
            <a:graphic>
              <a:graphicData uri="http://schemas.openxmlformats.org/drawingml/2006/picture">
                <pic:pic>
                  <pic:nvPicPr>
                    <pic:cNvPr id="0" name="index-149_2.png" descr="index-149_2.png"/>
                    <pic:cNvPicPr/>
                  </pic:nvPicPr>
                  <pic:blipFill>
                    <a:blip r:embed="rId34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44" name="index-149_3.png" descr="index-149_3.png"/>
            <wp:cNvGraphicFramePr>
              <a:graphicFrameLocks noChangeAspect="1"/>
            </wp:cNvGraphicFramePr>
            <a:graphic>
              <a:graphicData uri="http://schemas.openxmlformats.org/drawingml/2006/picture">
                <pic:pic>
                  <pic:nvPicPr>
                    <pic:cNvPr id="0" name="index-149_3.png" descr="index-149_3.png"/>
                    <pic:cNvPicPr/>
                  </pic:nvPicPr>
                  <pic:blipFill>
                    <a:blip r:embed="rId348"/>
                    <a:stretch>
                      <a:fillRect/>
                    </a:stretch>
                  </pic:blipFill>
                  <pic:spPr>
                    <a:xfrm>
                      <a:off x="0" y="0"/>
                      <a:ext cx="914400" cy="444500"/>
                    </a:xfrm>
                    <a:prstGeom prst="rect">
                      <a:avLst/>
                    </a:prstGeom>
                  </pic:spPr>
                </pic:pic>
              </a:graphicData>
            </a:graphic>
          </wp:anchor>
        </w:drawing>
      </w:r>
    </w:p>
    <w:p>
      <w:pPr>
        <w:pStyle w:val="0 Block"/>
      </w:pPr>
    </w:p>
    <w:p>
      <w:bookmarkStart w:id="156" w:name="Chapter_5_25"/>
      <w:pPr>
        <w:pStyle w:val="Heading 1"/>
        <w:pageBreakBefore w:val="on"/>
      </w:pPr>
      <w:r>
        <w:t>Chapter 5</w:t>
      </w:r>
      <w:bookmarkEnd w:id="156"/>
    </w:p>
    <w:p>
      <w:pPr>
        <w:pStyle w:val="Para 25"/>
      </w:pPr>
      <w:r>
        <w:t/>
      </w:r>
    </w:p>
    <w:p>
      <w:pPr>
        <w:pStyle w:val="Para 07"/>
      </w:pPr>
      <w:r>
        <w:t xml:space="preserve">Event Log Management </w:t>
      </w:r>
    </w:p>
    <w:p>
      <w:pPr>
        <w:pStyle w:val="Normal"/>
      </w:pPr>
      <w:r>
        <w:t xml:space="preserve">Event logs are a good troubleshooting tool, and with auditing in place, there is often a </w:t>
      </w:r>
    </w:p>
    <w:p>
      <w:pPr>
        <w:pStyle w:val="Normal"/>
      </w:pPr>
      <w:r>
        <w:t xml:space="preserve">requirement to maintain, back up, and archive log files for security reasons. You can configure </w:t>
      </w:r>
    </w:p>
    <w:p>
      <w:pPr>
        <w:pStyle w:val="Normal"/>
      </w:pPr>
      <w:r>
        <w:t xml:space="preserve">and back up event logs in multiple ways, a few of which are explored in this section. </w:t>
      </w:r>
    </w:p>
    <w:p>
      <w:pPr>
        <w:pStyle w:val="Para 25"/>
      </w:pPr>
      <w:r>
        <w:t/>
      </w:r>
    </w:p>
    <w:p>
      <w:pPr>
        <w:pStyle w:val="Para 09"/>
      </w:pPr>
      <w:r>
        <w:t xml:space="preserve">Configuring Event Logs’ Retention </w:t>
      </w:r>
    </w:p>
    <w:p>
      <w:pPr>
        <w:pStyle w:val="Para 25"/>
      </w:pPr>
      <w:r>
        <w:t/>
      </w:r>
    </w:p>
    <w:p>
      <w:pPr>
        <w:pStyle w:val="Normal"/>
      </w:pPr>
      <w:r>
        <w:t xml:space="preserve">Locally, or via policy, you can configure the Application, Security, and Systems logs </w:t>
      </w:r>
    </w:p>
    <w:p>
      <w:pPr>
        <w:pStyle w:val="Normal"/>
      </w:pPr>
      <w:r>
        <w:t xml:space="preserve">independently. You can specify how large they may get and how long you would like to keep </w:t>
      </w:r>
    </w:p>
    <w:p>
      <w:pPr>
        <w:pStyle w:val="Normal"/>
      </w:pPr>
      <w:r>
        <w:t xml:space="preserve">them (see Figure 5.10).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63800" cy="2768600"/>
            <wp:effectExtent l="0" r="0" t="0" b="0"/>
            <wp:wrapTopAndBottom/>
            <wp:docPr id="345" name="index-150_1.png" descr="index-150_1.png"/>
            <wp:cNvGraphicFramePr>
              <a:graphicFrameLocks noChangeAspect="1"/>
            </wp:cNvGraphicFramePr>
            <a:graphic>
              <a:graphicData uri="http://schemas.openxmlformats.org/drawingml/2006/picture">
                <pic:pic>
                  <pic:nvPicPr>
                    <pic:cNvPr id="0" name="index-150_1.png" descr="index-150_1.png"/>
                    <pic:cNvPicPr/>
                  </pic:nvPicPr>
                  <pic:blipFill>
                    <a:blip r:embed="rId349"/>
                    <a:stretch>
                      <a:fillRect/>
                    </a:stretch>
                  </pic:blipFill>
                  <pic:spPr>
                    <a:xfrm>
                      <a:off x="0" y="0"/>
                      <a:ext cx="2463800" cy="2768600"/>
                    </a:xfrm>
                    <a:prstGeom prst="rect">
                      <a:avLst/>
                    </a:prstGeom>
                  </pic:spPr>
                </pic:pic>
              </a:graphicData>
            </a:graphic>
          </wp:anchor>
        </w:drawing>
      </w:r>
    </w:p>
    <w:p>
      <w:pPr>
        <w:pStyle w:val="Para 25"/>
      </w:pPr>
      <w:r>
        <w:t/>
      </w:r>
    </w:p>
    <w:p>
      <w:pPr>
        <w:pStyle w:val="Para 24"/>
      </w:pPr>
      <w:r>
        <w:t xml:space="preserve"> </w:t>
      </w:r>
    </w:p>
    <w:p>
      <w:pPr>
        <w:pStyle w:val="Para 25"/>
      </w:pPr>
      <w:r>
        <w:t/>
      </w:r>
    </w:p>
    <w:p>
      <w:pPr>
        <w:pStyle w:val="Para 10"/>
      </w:pPr>
      <w:r>
        <w:t xml:space="preserve">Figure 5.10: System event log default retention settings. </w:t>
      </w:r>
    </w:p>
    <w:p>
      <w:pPr>
        <w:pStyle w:val="Para 25"/>
      </w:pPr>
      <w:r>
        <w:t/>
      </w:r>
    </w:p>
    <w:p>
      <w:pPr>
        <w:pStyle w:val="Normal"/>
      </w:pPr>
      <w:r>
        <w:t xml:space="preserve">You can also configure event properties using Group Policy (see Figure 5.11) and assign those </w:t>
      </w:r>
    </w:p>
    <w:p>
      <w:pPr>
        <w:pStyle w:val="Normal"/>
      </w:pPr>
      <w:r>
        <w:t xml:space="preserve">preferences to an entire domain or specific OU.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46" name="index-150_2.png" descr="index-150_2.png"/>
            <wp:cNvGraphicFramePr>
              <a:graphicFrameLocks noChangeAspect="1"/>
            </wp:cNvGraphicFramePr>
            <a:graphic>
              <a:graphicData uri="http://schemas.openxmlformats.org/drawingml/2006/picture">
                <pic:pic>
                  <pic:nvPicPr>
                    <pic:cNvPr id="0" name="index-150_2.png" descr="index-150_2.png"/>
                    <pic:cNvPicPr/>
                  </pic:nvPicPr>
                  <pic:blipFill>
                    <a:blip r:embed="rId35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47" name="index-150_3.png" descr="index-150_3.png"/>
            <wp:cNvGraphicFramePr>
              <a:graphicFrameLocks noChangeAspect="1"/>
            </wp:cNvGraphicFramePr>
            <a:graphic>
              <a:graphicData uri="http://schemas.openxmlformats.org/drawingml/2006/picture">
                <pic:pic>
                  <pic:nvPicPr>
                    <pic:cNvPr id="0" name="index-150_3.png" descr="index-150_3.png"/>
                    <pic:cNvPicPr/>
                  </pic:nvPicPr>
                  <pic:blipFill>
                    <a:blip r:embed="rId351"/>
                    <a:stretch>
                      <a:fillRect/>
                    </a:stretch>
                  </pic:blipFill>
                  <pic:spPr>
                    <a:xfrm>
                      <a:off x="0" y="0"/>
                      <a:ext cx="914400" cy="444500"/>
                    </a:xfrm>
                    <a:prstGeom prst="rect">
                      <a:avLst/>
                    </a:prstGeom>
                  </pic:spPr>
                </pic:pic>
              </a:graphicData>
            </a:graphic>
          </wp:anchor>
        </w:drawing>
      </w:r>
    </w:p>
    <w:p>
      <w:pPr>
        <w:pStyle w:val="0 Block"/>
      </w:pPr>
    </w:p>
    <w:p>
      <w:bookmarkStart w:id="157" w:name="Chapter_5_26"/>
      <w:pPr>
        <w:pStyle w:val="Heading 1"/>
        <w:pageBreakBefore w:val="on"/>
      </w:pPr>
      <w:r>
        <w:t>Chapter 5</w:t>
      </w:r>
      <w:bookmarkEnd w:id="15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374900"/>
            <wp:effectExtent l="0" r="0" t="0" b="0"/>
            <wp:wrapTopAndBottom/>
            <wp:docPr id="348" name="index-151_1.png" descr="index-151_1.png"/>
            <wp:cNvGraphicFramePr>
              <a:graphicFrameLocks noChangeAspect="1"/>
            </wp:cNvGraphicFramePr>
            <a:graphic>
              <a:graphicData uri="http://schemas.openxmlformats.org/drawingml/2006/picture">
                <pic:pic>
                  <pic:nvPicPr>
                    <pic:cNvPr id="0" name="index-151_1.png" descr="index-151_1.png"/>
                    <pic:cNvPicPr/>
                  </pic:nvPicPr>
                  <pic:blipFill>
                    <a:blip r:embed="rId352"/>
                    <a:stretch>
                      <a:fillRect/>
                    </a:stretch>
                  </pic:blipFill>
                  <pic:spPr>
                    <a:xfrm>
                      <a:off x="0" y="0"/>
                      <a:ext cx="3810000" cy="23749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5.11: Domain security policy event log settings. </w:t>
      </w:r>
    </w:p>
    <w:p>
      <w:pPr>
        <w:pStyle w:val="Para 25"/>
      </w:pPr>
      <w:r>
        <w:t/>
      </w:r>
    </w:p>
    <w:p>
      <w:pPr>
        <w:pStyle w:val="Para 09"/>
      </w:pPr>
      <w:r>
        <w:t xml:space="preserve">Archiving Event Logs </w:t>
      </w:r>
    </w:p>
    <w:p>
      <w:pPr>
        <w:pStyle w:val="Para 25"/>
      </w:pPr>
      <w:r>
        <w:t/>
      </w:r>
    </w:p>
    <w:p>
      <w:pPr>
        <w:pStyle w:val="Normal"/>
      </w:pPr>
      <w:r>
        <w:t xml:space="preserve">An audit trail can contain information about changes that are made to computers on the network. If intruders gain Administrator rights and permissions, or if administrators abuse their rights and </w:t>
      </w:r>
    </w:p>
    <w:p>
      <w:pPr>
        <w:pStyle w:val="Normal"/>
      </w:pPr>
      <w:r>
        <w:t xml:space="preserve">permissions, they can erase event logs’ entries to conceal their actions. If you regularly back up </w:t>
      </w:r>
    </w:p>
    <w:p>
      <w:pPr>
        <w:pStyle w:val="Normal"/>
      </w:pPr>
      <w:r>
        <w:t xml:space="preserve">and archive security log entries across your organization, even if entries are cleared, you have an increased chance of being able to trace the actions of intruders or administrators using your </w:t>
      </w:r>
    </w:p>
    <w:p>
      <w:pPr>
        <w:pStyle w:val="Normal"/>
      </w:pPr>
      <w:r>
        <w:t xml:space="preserve">archived copies: </w:t>
      </w:r>
    </w:p>
    <w:p>
      <w:pPr>
        <w:pStyle w:val="Para 25"/>
      </w:pPr>
      <w:r>
        <w:t/>
      </w:r>
    </w:p>
    <w:p>
      <w:pPr>
        <w:pStyle w:val="Para 04"/>
      </w:pPr>
      <w:r>
        <w:t xml:space="preserve">• </w:t>
        <w:t xml:space="preserve">DumpEL—Dump Event Log is a command-line tool that dumps an event log for a local </w:t>
      </w:r>
    </w:p>
    <w:p>
      <w:pPr>
        <w:pStyle w:val="Para 01"/>
      </w:pPr>
      <w:r>
        <w:t xml:space="preserve">or remote system into a tab-separated text file. You can also use this tool to filter for or filter out certain event types. Although you can export the data in a tab-delimited or </w:t>
      </w:r>
    </w:p>
    <w:p>
      <w:pPr>
        <w:pStyle w:val="Para 01"/>
      </w:pPr>
      <w:r>
        <w:t xml:space="preserve">comma-delimited format, the tool does not dump the files in the native .evt file format </w:t>
      </w:r>
    </w:p>
    <w:p>
      <w:pPr>
        <w:pStyle w:val="Para 01"/>
      </w:pPr>
      <w:r>
        <w:t xml:space="preserve">that the Event Viewer uses. </w:t>
      </w:r>
    </w:p>
    <w:p>
      <w:pPr>
        <w:pStyle w:val="Para 25"/>
      </w:pPr>
      <w:r>
        <w:t/>
      </w:r>
    </w:p>
    <w:p>
      <w:pPr>
        <w:pStyle w:val="Para 02"/>
      </w:pPr>
      <w:r>
        <w:t xml:space="preserve">DumpEL is available in the Win2K resource kit or online, at </w:t>
      </w:r>
    </w:p>
    <w:p>
      <w:pPr>
        <w:pStyle w:val="Para 02"/>
      </w:pPr>
      <w:r>
        <w:t xml:space="preserve">http://www.microsoft.com/windows2000/techinfo/reskit/tools/existing/dumpel-o.asp.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49" name="index-151_2.png" descr="index-151_2.png"/>
            <wp:cNvGraphicFramePr>
              <a:graphicFrameLocks noChangeAspect="1"/>
            </wp:cNvGraphicFramePr>
            <a:graphic>
              <a:graphicData uri="http://schemas.openxmlformats.org/drawingml/2006/picture">
                <pic:pic>
                  <pic:nvPicPr>
                    <pic:cNvPr id="0" name="index-151_2.png" descr="index-151_2.png"/>
                    <pic:cNvPicPr/>
                  </pic:nvPicPr>
                  <pic:blipFill>
                    <a:blip r:embed="rId35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50" name="index-151_3.png" descr="index-151_3.png"/>
            <wp:cNvGraphicFramePr>
              <a:graphicFrameLocks noChangeAspect="1"/>
            </wp:cNvGraphicFramePr>
            <a:graphic>
              <a:graphicData uri="http://schemas.openxmlformats.org/drawingml/2006/picture">
                <pic:pic>
                  <pic:nvPicPr>
                    <pic:cNvPr id="0" name="index-151_3.png" descr="index-151_3.png"/>
                    <pic:cNvPicPr/>
                  </pic:nvPicPr>
                  <pic:blipFill>
                    <a:blip r:embed="rId354"/>
                    <a:stretch>
                      <a:fillRect/>
                    </a:stretch>
                  </pic:blipFill>
                  <pic:spPr>
                    <a:xfrm>
                      <a:off x="0" y="0"/>
                      <a:ext cx="914400" cy="444500"/>
                    </a:xfrm>
                    <a:prstGeom prst="rect">
                      <a:avLst/>
                    </a:prstGeom>
                  </pic:spPr>
                </pic:pic>
              </a:graphicData>
            </a:graphic>
          </wp:anchor>
        </w:drawing>
      </w:r>
    </w:p>
    <w:p>
      <w:pPr>
        <w:pStyle w:val="0 Block"/>
      </w:pPr>
    </w:p>
    <w:p>
      <w:bookmarkStart w:id="158" w:name="Chapter_5_27"/>
      <w:pPr>
        <w:pStyle w:val="Heading 1"/>
        <w:pageBreakBefore w:val="on"/>
      </w:pPr>
      <w:r>
        <w:t>Chapter 5</w:t>
      </w:r>
      <w:bookmarkEnd w:id="158"/>
    </w:p>
    <w:p>
      <w:pPr>
        <w:pStyle w:val="Para 25"/>
      </w:pPr>
      <w:r>
        <w:t/>
      </w:r>
    </w:p>
    <w:p>
      <w:pPr>
        <w:pStyle w:val="Para 04"/>
      </w:pPr>
      <w:r>
        <w:t xml:space="preserve">• </w:t>
        <w:t xml:space="preserve">EventSave—This freeware utility saves event logs in their native .evt file format to a </w:t>
      </w:r>
    </w:p>
    <w:p>
      <w:pPr>
        <w:pStyle w:val="Para 01"/>
      </w:pPr>
      <w:r>
        <w:t xml:space="preserve">specified location. It creates one file for each month named </w:t>
      </w:r>
    </w:p>
    <w:p>
      <w:pPr>
        <w:pStyle w:val="Para 01"/>
      </w:pPr>
      <w:r>
        <w:t xml:space="preserve">year_month_computer_xxx.evt, where xxx is the name of the log (Application, Security, </w:t>
      </w:r>
    </w:p>
    <w:p>
      <w:pPr>
        <w:pStyle w:val="Para 01"/>
      </w:pPr>
      <w:r>
        <w:t xml:space="preserve">or System). </w:t>
      </w:r>
    </w:p>
    <w:p>
      <w:pPr>
        <w:pStyle w:val="Para 25"/>
      </w:pPr>
      <w:r>
        <w:t/>
      </w:r>
    </w:p>
    <w:p>
      <w:pPr>
        <w:pStyle w:val="Para 02"/>
      </w:pPr>
      <w:r>
        <w:t xml:space="preserve">For more information about EventSave, visit http://www.heysoft.de/Frames/f_sw_es_en.htm. </w:t>
      </w:r>
    </w:p>
    <w:p>
      <w:pPr>
        <w:pStyle w:val="Para 25"/>
      </w:pPr>
      <w:r>
        <w:t/>
      </w:r>
    </w:p>
    <w:p>
      <w:pPr>
        <w:pStyle w:val="Normal"/>
      </w:pPr>
      <w:r>
        <w:t xml:space="preserve">More robust solutions exist that include event log collection and reporting, such as Microsoft </w:t>
      </w:r>
    </w:p>
    <w:p>
      <w:pPr>
        <w:pStyle w:val="Normal"/>
      </w:pPr>
      <w:r>
        <w:t xml:space="preserve">Operations Manager (MOM) those from NetIQ. Such systems can provide a consolidated view of an entire organization’s event logs. </w:t>
      </w:r>
    </w:p>
    <w:p>
      <w:pPr>
        <w:pStyle w:val="Para 25"/>
      </w:pPr>
      <w:r>
        <w:t/>
      </w:r>
    </w:p>
    <w:p>
      <w:pPr>
        <w:pStyle w:val="Para 12"/>
      </w:pPr>
      <w:r>
        <w:t xml:space="preserve">Summary </w:t>
      </w:r>
    </w:p>
    <w:p>
      <w:pPr>
        <w:pStyle w:val="Para 25"/>
      </w:pPr>
      <w:r>
        <w:t/>
      </w:r>
    </w:p>
    <w:p>
      <w:pPr>
        <w:pStyle w:val="Normal"/>
      </w:pPr>
      <w:r>
        <w:t xml:space="preserve">In this chapter, we have explored how to generate a security policy for your environment and the </w:t>
      </w:r>
    </w:p>
    <w:p>
      <w:pPr>
        <w:pStyle w:val="Normal"/>
      </w:pPr>
      <w:r>
        <w:t xml:space="preserve">benefits and drawbacks of implementing a locked down environment. We also discussed some </w:t>
      </w:r>
    </w:p>
    <w:p>
      <w:pPr>
        <w:pStyle w:val="Normal"/>
      </w:pPr>
      <w:r>
        <w:t xml:space="preserve">general security recommendations and methods that you can use to examine your own security configuration. In the next chapter, we will discuss desktop support, exploring methods and tools, </w:t>
      </w:r>
    </w:p>
    <w:p>
      <w:pPr>
        <w:pStyle w:val="Normal"/>
      </w:pPr>
      <w:r>
        <w:t>including remote control.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51" name="index-152_1.png" descr="index-152_1.png"/>
            <wp:cNvGraphicFramePr>
              <a:graphicFrameLocks noChangeAspect="1"/>
            </wp:cNvGraphicFramePr>
            <a:graphic>
              <a:graphicData uri="http://schemas.openxmlformats.org/drawingml/2006/picture">
                <pic:pic>
                  <pic:nvPicPr>
                    <pic:cNvPr id="0" name="index-152_1.png" descr="index-152_1.png"/>
                    <pic:cNvPicPr/>
                  </pic:nvPicPr>
                  <pic:blipFill>
                    <a:blip r:embed="rId35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52" name="index-152_2.png" descr="index-152_2.png"/>
            <wp:cNvGraphicFramePr>
              <a:graphicFrameLocks noChangeAspect="1"/>
            </wp:cNvGraphicFramePr>
            <a:graphic>
              <a:graphicData uri="http://schemas.openxmlformats.org/drawingml/2006/picture">
                <pic:pic>
                  <pic:nvPicPr>
                    <pic:cNvPr id="0" name="index-152_2.png" descr="index-152_2.png"/>
                    <pic:cNvPicPr/>
                  </pic:nvPicPr>
                  <pic:blipFill>
                    <a:blip r:embed="rId356"/>
                    <a:stretch>
                      <a:fillRect/>
                    </a:stretch>
                  </pic:blipFill>
                  <pic:spPr>
                    <a:xfrm>
                      <a:off x="0" y="0"/>
                      <a:ext cx="914400" cy="444500"/>
                    </a:xfrm>
                    <a:prstGeom prst="rect">
                      <a:avLst/>
                    </a:prstGeom>
                  </pic:spPr>
                </pic:pic>
              </a:graphicData>
            </a:graphic>
          </wp:anchor>
        </w:drawing>
      </w:r>
    </w:p>
    <w:p>
      <w:pPr>
        <w:pStyle w:val="0 Block"/>
      </w:pPr>
    </w:p>
    <w:p>
      <w:bookmarkStart w:id="159" w:name="Chapter_6"/>
      <w:pPr>
        <w:pStyle w:val="Heading 1"/>
        <w:pageBreakBefore w:val="on"/>
      </w:pPr>
      <w:r>
        <w:t>Chapter 6</w:t>
      </w:r>
      <w:bookmarkEnd w:id="159"/>
    </w:p>
    <w:p>
      <w:pPr>
        <w:pStyle w:val="Para 25"/>
      </w:pPr>
      <w:r>
        <w:t/>
      </w:r>
    </w:p>
    <w:p>
      <w:pPr>
        <w:pStyle w:val="0 Block"/>
      </w:pPr>
    </w:p>
    <w:p>
      <w:bookmarkStart w:id="160" w:name="Chapter_6__Desktop_Support"/>
      <w:pPr>
        <w:pStyle w:val="Para 23"/>
        <w:pageBreakBefore w:val="on"/>
      </w:pPr>
      <w:r>
        <w:t xml:space="preserve">Chapter 6: Desktop Support </w:t>
      </w:r>
      <w:bookmarkEnd w:id="160"/>
    </w:p>
    <w:p>
      <w:pPr>
        <w:pStyle w:val="Para 25"/>
      </w:pPr>
      <w:r>
        <w:t/>
      </w:r>
    </w:p>
    <w:p>
      <w:pPr>
        <w:pStyle w:val="Normal"/>
      </w:pPr>
      <w:r>
        <w:t xml:space="preserve">In the last chapter, we explored implementing security in an effort to help users from </w:t>
      </w:r>
    </w:p>
    <w:p>
      <w:pPr>
        <w:pStyle w:val="Normal"/>
      </w:pPr>
      <w:r>
        <w:t xml:space="preserve">inadvertently damaging their systems, to enforce the saving of data to network shares, and to </w:t>
      </w:r>
    </w:p>
    <w:p>
      <w:pPr>
        <w:pStyle w:val="Normal"/>
      </w:pPr>
      <w:r>
        <w:t xml:space="preserve">prevent the installation of unauthorized software. However, even with these restrictions in place, you will certainly have desktop problems to contend with. Some of these issues might simply </w:t>
      </w:r>
    </w:p>
    <w:p>
      <w:pPr>
        <w:pStyle w:val="Normal"/>
      </w:pPr>
      <w:r>
        <w:t xml:space="preserve">involve a lack of user knowledge or understanding, other problems will be legitimate issues that </w:t>
      </w:r>
    </w:p>
    <w:p>
      <w:pPr>
        <w:pStyle w:val="Normal"/>
      </w:pPr>
      <w:r>
        <w:t xml:space="preserve">will require investigation and troubleshooting. </w:t>
      </w:r>
    </w:p>
    <w:p>
      <w:pPr>
        <w:pStyle w:val="Para 25"/>
      </w:pPr>
      <w:r>
        <w:t/>
      </w:r>
    </w:p>
    <w:p>
      <w:pPr>
        <w:pStyle w:val="Para 12"/>
      </w:pPr>
      <w:r>
        <w:t xml:space="preserve">Adopting and Implementing Best Practices </w:t>
      </w:r>
    </w:p>
    <w:p>
      <w:pPr>
        <w:pStyle w:val="Para 25"/>
      </w:pPr>
      <w:r>
        <w:t/>
      </w:r>
    </w:p>
    <w:p>
      <w:pPr>
        <w:pStyle w:val="Normal"/>
      </w:pPr>
      <w:r>
        <w:t xml:space="preserve">Adopting industry best practices can help you to avoid learning certain aspects of desktop support the hard way. Guidelines provided by published best practices—which we’ll explore in </w:t>
      </w:r>
    </w:p>
    <w:p>
      <w:pPr>
        <w:pStyle w:val="Normal"/>
      </w:pPr>
      <w:r>
        <w:t xml:space="preserve">this chapter—can help you to identify issues that may not be clear to you in the early stages of </w:t>
      </w:r>
    </w:p>
    <w:p>
      <w:pPr>
        <w:pStyle w:val="Normal"/>
      </w:pPr>
      <w:r>
        <w:t xml:space="preserve">implementing your desktop support processes. Investigating these best practices and how you </w:t>
      </w:r>
    </w:p>
    <w:p>
      <w:pPr>
        <w:pStyle w:val="Normal"/>
      </w:pPr>
      <w:r>
        <w:t xml:space="preserve">can apply them to your environment can help you to avoid mistakes. </w:t>
      </w:r>
    </w:p>
    <w:p>
      <w:pPr>
        <w:pStyle w:val="Para 25"/>
      </w:pPr>
      <w:r>
        <w:t/>
      </w:r>
    </w:p>
    <w:p>
      <w:pPr>
        <w:pStyle w:val="Normal"/>
      </w:pPr>
      <w:r>
        <w:t xml:space="preserve">The most recognized source of best practices for IT can be found in the IT Infrastructure Library </w:t>
      </w:r>
    </w:p>
    <w:p>
      <w:pPr>
        <w:pStyle w:val="Normal"/>
      </w:pPr>
      <w:r>
        <w:t xml:space="preserve">(ITIL), which is published by the United Kingdom’s Office of Government Commerce (OGC). </w:t>
      </w:r>
    </w:p>
    <w:p>
      <w:pPr>
        <w:pStyle w:val="Normal"/>
      </w:pPr>
      <w:r>
        <w:t xml:space="preserve">The ITIL defines overall service management as 10 core processes separated into two groups: IT service delivery and IT service support (see Table 6.1). </w:t>
      </w:r>
    </w:p>
    <w:p>
      <w:pPr>
        <w:pStyle w:val="Para 25"/>
      </w:pPr>
      <w:r>
        <w:t/>
      </w:r>
    </w:p>
    <w:p>
      <w:pPr>
        <w:pStyle w:val="Para 18"/>
      </w:pPr>
      <w:r>
        <w:t xml:space="preserve">Process Category </w:t>
      </w:r>
    </w:p>
    <w:p>
      <w:pPr>
        <w:pStyle w:val="Para 03"/>
      </w:pPr>
      <w:r>
        <w:t xml:space="preserve">Capacity management </w:t>
      </w:r>
      <w:r>
        <w:rPr>
          <w:rStyle w:val="Text2"/>
        </w:rPr>
        <w:t xml:space="preserve"> </w:t>
      </w:r>
      <w:r>
        <w:t xml:space="preserve">IT Service Delivery </w:t>
      </w:r>
    </w:p>
    <w:p>
      <w:pPr>
        <w:pStyle w:val="Para 03"/>
      </w:pPr>
      <w:r>
        <w:t xml:space="preserve">Financial management </w:t>
      </w:r>
      <w:r>
        <w:rPr>
          <w:rStyle w:val="Text2"/>
        </w:rPr>
        <w:t xml:space="preserve"> </w:t>
      </w:r>
      <w:r>
        <w:t xml:space="preserve">IT Service Delivery </w:t>
      </w:r>
    </w:p>
    <w:p>
      <w:pPr>
        <w:pStyle w:val="Para 03"/>
      </w:pPr>
      <w:r>
        <w:t xml:space="preserve">Availability management </w:t>
      </w:r>
      <w:r>
        <w:rPr>
          <w:rStyle w:val="Text2"/>
        </w:rPr>
        <w:t xml:space="preserve"> </w:t>
      </w:r>
      <w:r>
        <w:t xml:space="preserve">IT Service Delivery </w:t>
      </w:r>
    </w:p>
    <w:p>
      <w:pPr>
        <w:pStyle w:val="Para 03"/>
      </w:pPr>
      <w:r>
        <w:t xml:space="preserve">Service level management </w:t>
      </w:r>
      <w:r>
        <w:rPr>
          <w:rStyle w:val="Text2"/>
        </w:rPr>
        <w:t xml:space="preserve"> </w:t>
      </w:r>
      <w:r>
        <w:t xml:space="preserve">IT Service Delivery </w:t>
      </w:r>
    </w:p>
    <w:p>
      <w:pPr>
        <w:pStyle w:val="Para 03"/>
      </w:pPr>
      <w:r>
        <w:t xml:space="preserve">Continuity management </w:t>
      </w:r>
      <w:r>
        <w:rPr>
          <w:rStyle w:val="Text2"/>
        </w:rPr>
        <w:t xml:space="preserve"> </w:t>
      </w:r>
      <w:r>
        <w:t xml:space="preserve">IT Service Delivery </w:t>
      </w:r>
    </w:p>
    <w:p>
      <w:pPr>
        <w:pStyle w:val="Para 03"/>
      </w:pPr>
      <w:r>
        <w:t xml:space="preserve">Service desk </w:t>
      </w:r>
      <w:r>
        <w:rPr>
          <w:rStyle w:val="Text2"/>
        </w:rPr>
        <w:t xml:space="preserve"> </w:t>
      </w:r>
      <w:r>
        <w:t xml:space="preserve">IT Service Support </w:t>
      </w:r>
    </w:p>
    <w:p>
      <w:pPr>
        <w:pStyle w:val="Para 03"/>
      </w:pPr>
      <w:r>
        <w:t xml:space="preserve">Incident management </w:t>
      </w:r>
      <w:r>
        <w:rPr>
          <w:rStyle w:val="Text2"/>
        </w:rPr>
        <w:t xml:space="preserve"> </w:t>
      </w:r>
      <w:r>
        <w:t xml:space="preserve">IT Service Support </w:t>
      </w:r>
    </w:p>
    <w:p>
      <w:pPr>
        <w:pStyle w:val="Para 03"/>
      </w:pPr>
      <w:r>
        <w:t xml:space="preserve">Problem management </w:t>
      </w:r>
      <w:r>
        <w:rPr>
          <w:rStyle w:val="Text2"/>
        </w:rPr>
        <w:t xml:space="preserve"> </w:t>
      </w:r>
      <w:r>
        <w:t xml:space="preserve">IT Service Support </w:t>
      </w:r>
    </w:p>
    <w:p>
      <w:pPr>
        <w:pStyle w:val="Para 03"/>
      </w:pPr>
      <w:r>
        <w:t xml:space="preserve">Change management </w:t>
      </w:r>
      <w:r>
        <w:rPr>
          <w:rStyle w:val="Text2"/>
        </w:rPr>
        <w:t xml:space="preserve"> </w:t>
      </w:r>
      <w:r>
        <w:t xml:space="preserve">IT Service Support </w:t>
      </w:r>
    </w:p>
    <w:p>
      <w:pPr>
        <w:pStyle w:val="Para 03"/>
      </w:pPr>
      <w:r>
        <w:t xml:space="preserve">Configuration management </w:t>
      </w:r>
      <w:r>
        <w:rPr>
          <w:rStyle w:val="Text2"/>
        </w:rPr>
        <w:t xml:space="preserve"> </w:t>
      </w:r>
      <w:r>
        <w:t xml:space="preserve">IT Service Support </w:t>
      </w:r>
    </w:p>
    <w:p>
      <w:pPr>
        <w:pStyle w:val="Para 25"/>
      </w:pPr>
      <w:r>
        <w:t/>
      </w:r>
    </w:p>
    <w:p>
      <w:pPr>
        <w:pStyle w:val="Para 10"/>
      </w:pPr>
      <w:r>
        <w:t xml:space="preserve">Table 6.1: ITIL service management processes. </w:t>
      </w:r>
    </w:p>
    <w:p>
      <w:pPr>
        <w:pStyle w:val="Para 25"/>
      </w:pPr>
      <w:r>
        <w:t/>
      </w:r>
    </w:p>
    <w:p>
      <w:pPr>
        <w:pStyle w:val="Normal"/>
      </w:pPr>
      <w:r>
        <w:t xml:space="preserve">When leveraging how others have done something (for example, implementing a best practice), you might feel that doing it exactly their way is a requirement. However, every situation is </w:t>
      </w:r>
    </w:p>
    <w:p>
      <w:pPr>
        <w:pStyle w:val="Normal"/>
      </w:pPr>
      <w:r>
        <w:t xml:space="preserve">different and should be adjusted as necessary. Don’t think of best practices as hard and fast rules; </w:t>
      </w:r>
    </w:p>
    <w:p>
      <w:pPr>
        <w:pStyle w:val="Normal"/>
      </w:pPr>
      <w:r>
        <w:t xml:space="preserve">rather, consider them a way that others have found to solve a problem that works well in typical environments. One of the reasons that ITIL has been so widely implemented is that it does not </w:t>
      </w:r>
    </w:p>
    <w:p>
      <w:pPr>
        <w:pStyle w:val="Normal"/>
      </w:pPr>
      <w:r>
        <w:t xml:space="preserve">provide specific standards and processes, but a flexible framework that you can adjust as needed. </w:t>
      </w:r>
    </w:p>
    <w:p>
      <w:pPr>
        <w:pStyle w:val="Para 25"/>
      </w:pPr>
      <w:r>
        <w:t/>
      </w:r>
    </w:p>
    <w:p>
      <w:pPr>
        <w:pStyle w:val="Para 02"/>
      </w:pPr>
      <w:r>
        <w:t xml:space="preserve">To learn more about the ITIL service management processes, visit http://www.ogc.gov.uk.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53" name="index-153_1.png" descr="index-153_1.png"/>
            <wp:cNvGraphicFramePr>
              <a:graphicFrameLocks noChangeAspect="1"/>
            </wp:cNvGraphicFramePr>
            <a:graphic>
              <a:graphicData uri="http://schemas.openxmlformats.org/drawingml/2006/picture">
                <pic:pic>
                  <pic:nvPicPr>
                    <pic:cNvPr id="0" name="index-153_1.png" descr="index-153_1.png"/>
                    <pic:cNvPicPr/>
                  </pic:nvPicPr>
                  <pic:blipFill>
                    <a:blip r:embed="rId35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54" name="index-153_2.png" descr="index-153_2.png"/>
            <wp:cNvGraphicFramePr>
              <a:graphicFrameLocks noChangeAspect="1"/>
            </wp:cNvGraphicFramePr>
            <a:graphic>
              <a:graphicData uri="http://schemas.openxmlformats.org/drawingml/2006/picture">
                <pic:pic>
                  <pic:nvPicPr>
                    <pic:cNvPr id="0" name="index-153_2.png" descr="index-153_2.png"/>
                    <pic:cNvPicPr/>
                  </pic:nvPicPr>
                  <pic:blipFill>
                    <a:blip r:embed="rId358"/>
                    <a:stretch>
                      <a:fillRect/>
                    </a:stretch>
                  </pic:blipFill>
                  <pic:spPr>
                    <a:xfrm>
                      <a:off x="0" y="0"/>
                      <a:ext cx="914400" cy="444500"/>
                    </a:xfrm>
                    <a:prstGeom prst="rect">
                      <a:avLst/>
                    </a:prstGeom>
                  </pic:spPr>
                </pic:pic>
              </a:graphicData>
            </a:graphic>
          </wp:anchor>
        </w:drawing>
      </w:r>
    </w:p>
    <w:p>
      <w:pPr>
        <w:pStyle w:val="0 Block"/>
      </w:pPr>
    </w:p>
    <w:p>
      <w:bookmarkStart w:id="161" w:name="Chapter_6_1"/>
      <w:pPr>
        <w:pStyle w:val="Heading 1"/>
        <w:pageBreakBefore w:val="on"/>
      </w:pPr>
      <w:r>
        <w:t>Chapter 6</w:t>
      </w:r>
      <w:bookmarkEnd w:id="161"/>
    </w:p>
    <w:p>
      <w:pPr>
        <w:pStyle w:val="Para 25"/>
      </w:pPr>
      <w:r>
        <w:t/>
      </w:r>
    </w:p>
    <w:p>
      <w:pPr>
        <w:pStyle w:val="Normal"/>
      </w:pPr>
      <w:r>
        <w:t xml:space="preserve">Regardless of which processes you implement, it is important that you use them consistently. </w:t>
      </w:r>
    </w:p>
    <w:p>
      <w:pPr>
        <w:pStyle w:val="Normal"/>
      </w:pPr>
      <w:r>
        <w:t xml:space="preserve">You might have heard of International Organization of Standardization (ISO) 9001, which helps </w:t>
      </w:r>
    </w:p>
    <w:p>
      <w:pPr>
        <w:pStyle w:val="Normal"/>
      </w:pPr>
      <w:r>
        <w:t xml:space="preserve">companies establish and consistently use processes. Even if your intention is not to become certified, the practice of establishing and consistently using a process is no less valuable. </w:t>
      </w:r>
    </w:p>
    <w:p>
      <w:pPr>
        <w:pStyle w:val="Normal"/>
      </w:pPr>
      <w:r>
        <w:t xml:space="preserve">However, processes can (and should) be enhanced and updated as you discover worthwhile </w:t>
      </w:r>
    </w:p>
    <w:p>
      <w:pPr>
        <w:pStyle w:val="Normal"/>
      </w:pPr>
      <w:r>
        <w:t xml:space="preserve">changes. (For information about a method of reviewing and improving processes, see the sidebar “The Continuous Process Improvement Model.”) But to constantly improve processes, they must </w:t>
      </w:r>
    </w:p>
    <w:p>
      <w:pPr>
        <w:pStyle w:val="Normal"/>
      </w:pPr>
      <w:r>
        <w:t xml:space="preserve">be defined in the first place. Regularly deviating from a set process can undermine the benefits of </w:t>
      </w:r>
    </w:p>
    <w:p>
      <w:pPr>
        <w:pStyle w:val="Normal"/>
      </w:pPr>
      <w:r>
        <w:t xml:space="preserve">establishing such a process. </w:t>
      </w:r>
    </w:p>
    <w:p>
      <w:pPr>
        <w:pStyle w:val="Para 25"/>
      </w:pPr>
      <w:r>
        <w:t/>
      </w:r>
    </w:p>
    <w:p>
      <w:pPr>
        <w:pStyle w:val="Para 19"/>
      </w:pPr>
      <w:r>
        <w:t xml:space="preserve">The Continuous Process Improvement Model </w:t>
      </w:r>
    </w:p>
    <w:p>
      <w:pPr>
        <w:pStyle w:val="Para 03"/>
      </w:pPr>
      <w:r>
        <w:t xml:space="preserve">Continuous Process Improvement (CPI) is a systematic approach for improving performance and </w:t>
        <w:t xml:space="preserve">customer satisfaction through the enhancement of an organization's processes. The model is designed to </w:t>
        <w:t xml:space="preserve">help document processes, assess their current status and functionality, and utilize a variety of tools to </w:t>
        <w:t xml:space="preserve">increase process efficiency and effectiveness. Figure 6.1 illustrates the CPI method model: </w:t>
      </w:r>
    </w:p>
    <w:p>
      <w:pPr>
        <w:pStyle w:val="Para 03"/>
      </w:pPr>
      <w:r>
        <w:t>•</w:t>
        <w:t xml:space="preserve"> Design—Creating a process and determining which metrics are important to establish the success </w:t>
      </w:r>
    </w:p>
    <w:p>
      <w:pPr>
        <w:pStyle w:val="Para 02"/>
      </w:pPr>
      <w:r>
        <w:t xml:space="preserve">and performance of the process </w:t>
      </w:r>
    </w:p>
    <w:p>
      <w:pPr>
        <w:pStyle w:val="Para 03"/>
      </w:pPr>
      <w:r>
        <w:t>•</w:t>
        <w:t xml:space="preserve"> Execute—Automating, deploying, and training staff on the process </w:t>
      </w:r>
    </w:p>
    <w:p>
      <w:pPr>
        <w:pStyle w:val="Para 25"/>
      </w:pPr>
      <w:r>
        <w:t/>
      </w:r>
    </w:p>
    <w:p>
      <w:pPr>
        <w:pStyle w:val="Para 03"/>
      </w:pPr>
      <w:r>
        <w:t>•</w:t>
        <w:t xml:space="preserve"> Measure—Determining how the process is performing and what can be learned from this data to </w:t>
      </w:r>
    </w:p>
    <w:p>
      <w:pPr>
        <w:pStyle w:val="Para 02"/>
      </w:pPr>
      <w:r>
        <w:t xml:space="preserve">further improve the process </w:t>
      </w:r>
    </w:p>
    <w:p>
      <w:pPr>
        <w:pStyle w:val="Para 03"/>
      </w:pPr>
      <w:r>
        <w:t>•</w:t>
        <w:t xml:space="preserve"> Manage—Modifying the process to improve it as well as considering changes that have affected the </w:t>
      </w:r>
    </w:p>
    <w:p>
      <w:pPr>
        <w:pStyle w:val="Para 02"/>
      </w:pPr>
      <w:r>
        <w:t xml:space="preserve">process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00300" cy="1612900"/>
            <wp:effectExtent l="0" r="0" t="0" b="0"/>
            <wp:wrapTopAndBottom/>
            <wp:docPr id="355" name="index-154_1.png" descr="index-154_1.png"/>
            <wp:cNvGraphicFramePr>
              <a:graphicFrameLocks noChangeAspect="1"/>
            </wp:cNvGraphicFramePr>
            <a:graphic>
              <a:graphicData uri="http://schemas.openxmlformats.org/drawingml/2006/picture">
                <pic:pic>
                  <pic:nvPicPr>
                    <pic:cNvPr id="0" name="index-154_1.png" descr="index-154_1.png"/>
                    <pic:cNvPicPr/>
                  </pic:nvPicPr>
                  <pic:blipFill>
                    <a:blip r:embed="rId359"/>
                    <a:stretch>
                      <a:fillRect/>
                    </a:stretch>
                  </pic:blipFill>
                  <pic:spPr>
                    <a:xfrm>
                      <a:off x="0" y="0"/>
                      <a:ext cx="2400300" cy="1612900"/>
                    </a:xfrm>
                    <a:prstGeom prst="rect">
                      <a:avLst/>
                    </a:prstGeom>
                  </pic:spPr>
                </pic:pic>
              </a:graphicData>
            </a:graphic>
          </wp:anchor>
        </w:drawing>
      </w:r>
    </w:p>
    <w:p>
      <w:pPr>
        <w:pStyle w:val="Para 25"/>
      </w:pPr>
      <w:r>
        <w:t/>
      </w:r>
    </w:p>
    <w:p>
      <w:pPr>
        <w:pStyle w:val="Para 10"/>
      </w:pPr>
      <w:r>
        <w:t xml:space="preserve">Figure 6.1: The CPI model.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56" name="index-154_2.png" descr="index-154_2.png"/>
            <wp:cNvGraphicFramePr>
              <a:graphicFrameLocks noChangeAspect="1"/>
            </wp:cNvGraphicFramePr>
            <a:graphic>
              <a:graphicData uri="http://schemas.openxmlformats.org/drawingml/2006/picture">
                <pic:pic>
                  <pic:nvPicPr>
                    <pic:cNvPr id="0" name="index-154_2.png" descr="index-154_2.png"/>
                    <pic:cNvPicPr/>
                  </pic:nvPicPr>
                  <pic:blipFill>
                    <a:blip r:embed="rId36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57" name="index-154_3.png" descr="index-154_3.png"/>
            <wp:cNvGraphicFramePr>
              <a:graphicFrameLocks noChangeAspect="1"/>
            </wp:cNvGraphicFramePr>
            <a:graphic>
              <a:graphicData uri="http://schemas.openxmlformats.org/drawingml/2006/picture">
                <pic:pic>
                  <pic:nvPicPr>
                    <pic:cNvPr id="0" name="index-154_3.png" descr="index-154_3.png"/>
                    <pic:cNvPicPr/>
                  </pic:nvPicPr>
                  <pic:blipFill>
                    <a:blip r:embed="rId361"/>
                    <a:stretch>
                      <a:fillRect/>
                    </a:stretch>
                  </pic:blipFill>
                  <pic:spPr>
                    <a:xfrm>
                      <a:off x="0" y="0"/>
                      <a:ext cx="914400" cy="444500"/>
                    </a:xfrm>
                    <a:prstGeom prst="rect">
                      <a:avLst/>
                    </a:prstGeom>
                  </pic:spPr>
                </pic:pic>
              </a:graphicData>
            </a:graphic>
          </wp:anchor>
        </w:drawing>
      </w:r>
    </w:p>
    <w:p>
      <w:pPr>
        <w:pStyle w:val="0 Block"/>
      </w:pPr>
    </w:p>
    <w:p>
      <w:bookmarkStart w:id="162" w:name="Chapter_6_2"/>
      <w:pPr>
        <w:pStyle w:val="Heading 1"/>
        <w:pageBreakBefore w:val="on"/>
      </w:pPr>
      <w:r>
        <w:t>Chapter 6</w:t>
      </w:r>
      <w:bookmarkEnd w:id="162"/>
    </w:p>
    <w:p>
      <w:pPr>
        <w:pStyle w:val="Para 25"/>
      </w:pPr>
      <w:r>
        <w:t/>
      </w:r>
    </w:p>
    <w:p>
      <w:pPr>
        <w:pStyle w:val="Para 12"/>
      </w:pPr>
      <w:r>
        <w:t xml:space="preserve">Desktop Support Best Practices </w:t>
      </w:r>
    </w:p>
    <w:p>
      <w:pPr>
        <w:pStyle w:val="Para 25"/>
      </w:pPr>
      <w:r>
        <w:t/>
      </w:r>
    </w:p>
    <w:p>
      <w:pPr>
        <w:pStyle w:val="Normal"/>
      </w:pPr>
      <w:r>
        <w:t xml:space="preserve">One area in which implemented best practices and established processes can greatly improve the </w:t>
      </w:r>
    </w:p>
    <w:p>
      <w:pPr>
        <w:pStyle w:val="Normal"/>
      </w:pPr>
      <w:r>
        <w:t xml:space="preserve">life of a desktop administrator is desktop support. Hopefully, you have done so much testing and </w:t>
      </w:r>
    </w:p>
    <w:p>
      <w:pPr>
        <w:pStyle w:val="Normal"/>
      </w:pPr>
      <w:r>
        <w:t xml:space="preserve">research during the development of your baseline and in the deployment of updates and applications that the number of Help desk calls you receive is minimal. However, it is the nature </w:t>
      </w:r>
    </w:p>
    <w:p>
      <w:pPr>
        <w:pStyle w:val="Normal"/>
      </w:pPr>
      <w:r>
        <w:t xml:space="preserve">of desktop support that there will always be at least a few users who will require your assistance. </w:t>
      </w:r>
    </w:p>
    <w:p>
      <w:pPr>
        <w:pStyle w:val="Para 25"/>
      </w:pPr>
      <w:r>
        <w:t/>
      </w:r>
    </w:p>
    <w:p>
      <w:pPr>
        <w:pStyle w:val="Normal"/>
      </w:pPr>
      <w:r>
        <w:t xml:space="preserve">When a user calls in a problem, it is very important that the issue be seen through to the end, </w:t>
      </w:r>
    </w:p>
    <w:p>
      <w:pPr>
        <w:pStyle w:val="Normal"/>
      </w:pPr>
      <w:r>
        <w:t xml:space="preserve">which is very difficult without a tracking system in place. Particularly if several support staff are involved in solving a single problem, the need for a tracking system becomes clear. </w:t>
      </w:r>
    </w:p>
    <w:p>
      <w:pPr>
        <w:pStyle w:val="Para 25"/>
      </w:pPr>
      <w:r>
        <w:t/>
      </w:r>
    </w:p>
    <w:p>
      <w:pPr>
        <w:pStyle w:val="Para 07"/>
      </w:pPr>
      <w:r>
        <w:t xml:space="preserve">Tracking Trouble Tickets </w:t>
      </w:r>
    </w:p>
    <w:p>
      <w:pPr>
        <w:pStyle w:val="Normal"/>
      </w:pPr>
      <w:r>
        <w:t xml:space="preserve">Tracking tickets through completion provides many benefits: they allow you to easily identify </w:t>
      </w:r>
    </w:p>
    <w:p>
      <w:pPr>
        <w:pStyle w:val="Normal"/>
      </w:pPr>
      <w:r>
        <w:t xml:space="preserve">trends and widespread problems and to ensure that problems are followed through to resolution. </w:t>
      </w:r>
    </w:p>
    <w:p>
      <w:pPr>
        <w:pStyle w:val="Normal"/>
      </w:pPr>
      <w:r>
        <w:t xml:space="preserve">When your time is consumed by many tasks, as is always the case for desktop support staff, documenting your work can become a challenge. To ease this burden, tickets can be generated </w:t>
      </w:r>
    </w:p>
    <w:p>
      <w:pPr>
        <w:pStyle w:val="Normal"/>
      </w:pPr>
      <w:r>
        <w:t xml:space="preserve">from several sources—as we’ll explore in the following sections—all of which should end up in </w:t>
      </w:r>
    </w:p>
    <w:p>
      <w:pPr>
        <w:pStyle w:val="Normal"/>
      </w:pPr>
      <w:r>
        <w:t xml:space="preserve">your tracking database. </w:t>
      </w:r>
    </w:p>
    <w:p>
      <w:pPr>
        <w:pStyle w:val="Para 25"/>
      </w:pPr>
      <w:r>
        <w:t/>
      </w:r>
    </w:p>
    <w:p>
      <w:pPr>
        <w:pStyle w:val="Para 09"/>
      </w:pPr>
      <w:r>
        <w:t xml:space="preserve">Web </w:t>
      </w:r>
    </w:p>
    <w:p>
      <w:pPr>
        <w:pStyle w:val="Para 25"/>
      </w:pPr>
      <w:r>
        <w:t/>
      </w:r>
    </w:p>
    <w:p>
      <w:pPr>
        <w:pStyle w:val="Normal"/>
      </w:pPr>
      <w:r>
        <w:t xml:space="preserve">Most Help desk software vendors such as Remedy, Altiris, and WebGroup Media provide a </w:t>
      </w:r>
    </w:p>
    <w:p>
      <w:pPr>
        <w:pStyle w:val="Normal"/>
      </w:pPr>
      <w:r>
        <w:t xml:space="preserve">browser-based interface for tickets. The notion of running a client application to collect such information is quickly becoming an antiquated concept. A browser-based interface for recording </w:t>
      </w:r>
    </w:p>
    <w:p>
      <w:pPr>
        <w:pStyle w:val="Normal"/>
      </w:pPr>
      <w:r>
        <w:t xml:space="preserve">a trouble ticket (and even managing them) is increasingly popular, as it requires no deployment </w:t>
      </w:r>
    </w:p>
    <w:p>
      <w:pPr>
        <w:pStyle w:val="Normal"/>
      </w:pPr>
      <w:r>
        <w:t xml:space="preserve">and generates a ticket automatically in your database. </w:t>
      </w:r>
    </w:p>
    <w:p>
      <w:pPr>
        <w:pStyle w:val="Para 25"/>
      </w:pPr>
      <w:r>
        <w:t/>
      </w:r>
    </w:p>
    <w:p>
      <w:pPr>
        <w:pStyle w:val="Para 02"/>
      </w:pPr>
      <w:r>
        <w:t xml:space="preserve">For a list of browser-based Help desk tools, check out </w:t>
      </w:r>
    </w:p>
    <w:p>
      <w:pPr>
        <w:pStyle w:val="Para 02"/>
      </w:pPr>
      <w:r>
        <w:t xml:space="preserve">http://dmoz.org/Computers/Software/Help_Desk/Browser_Based. </w:t>
      </w:r>
    </w:p>
    <w:p>
      <w:pPr>
        <w:pStyle w:val="Para 25"/>
      </w:pPr>
      <w:r>
        <w:t/>
      </w:r>
    </w:p>
    <w:p>
      <w:pPr>
        <w:pStyle w:val="Para 09"/>
      </w:pPr>
      <w:r>
        <w:t xml:space="preserve">Telephone </w:t>
      </w:r>
    </w:p>
    <w:p>
      <w:pPr>
        <w:pStyle w:val="Para 25"/>
      </w:pPr>
      <w:r>
        <w:t/>
      </w:r>
    </w:p>
    <w:p>
      <w:pPr>
        <w:pStyle w:val="Normal"/>
      </w:pPr>
      <w:r>
        <w:t xml:space="preserve">A telephone call is another common way to receive trouble calls. This sort of ticket initiation is </w:t>
      </w:r>
    </w:p>
    <w:p>
      <w:pPr>
        <w:pStyle w:val="Normal"/>
      </w:pPr>
      <w:r>
        <w:t xml:space="preserve">typically handled by having the caller provide the necessary information to support personnel for manual entry. This method of reporting is obviously less efficient than having the user enter data </w:t>
      </w:r>
    </w:p>
    <w:p>
      <w:pPr>
        <w:pStyle w:val="Normal"/>
      </w:pPr>
      <w:r>
        <w:t xml:space="preserve">via a Web page. However, given the choice, many users are more comfortable speaking with </w:t>
      </w:r>
    </w:p>
    <w:p>
      <w:pPr>
        <w:pStyle w:val="Normal"/>
      </w:pPr>
      <w:r>
        <w:t xml:space="preserve">someone so that they are better assured that someone is aware of their problems (rather than </w:t>
      </w:r>
    </w:p>
    <w:p>
      <w:pPr>
        <w:pStyle w:val="Normal"/>
      </w:pPr>
      <w:r>
        <w:t xml:space="preserve">sitting in a queue that nobody has looked at yet). </w:t>
      </w:r>
    </w:p>
    <w:p>
      <w:pPr>
        <w:pStyle w:val="Para 25"/>
      </w:pPr>
      <w:r>
        <w:t/>
      </w:r>
    </w:p>
    <w:p>
      <w:pPr>
        <w:pStyle w:val="Normal"/>
      </w:pPr>
      <w:r>
        <w:t xml:space="preserve">Many organizations affix stickers to monitors to ensure that users know the right person to </w:t>
      </w:r>
    </w:p>
    <w:p>
      <w:pPr>
        <w:pStyle w:val="Normal"/>
      </w:pPr>
      <w:r>
        <w:t xml:space="preserve">contact when they have a problem. This practice is a good idea—when users are already </w:t>
      </w:r>
    </w:p>
    <w:p>
      <w:pPr>
        <w:pStyle w:val="Normal"/>
      </w:pPr>
      <w:r>
        <w:t xml:space="preserve">frustrated with problems, you do not want them to have to track down information to obtain assistance.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58" name="index-155_1.png" descr="index-155_1.png"/>
            <wp:cNvGraphicFramePr>
              <a:graphicFrameLocks noChangeAspect="1"/>
            </wp:cNvGraphicFramePr>
            <a:graphic>
              <a:graphicData uri="http://schemas.openxmlformats.org/drawingml/2006/picture">
                <pic:pic>
                  <pic:nvPicPr>
                    <pic:cNvPr id="0" name="index-155_1.png" descr="index-155_1.png"/>
                    <pic:cNvPicPr/>
                  </pic:nvPicPr>
                  <pic:blipFill>
                    <a:blip r:embed="rId36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59" name="index-155_2.png" descr="index-155_2.png"/>
            <wp:cNvGraphicFramePr>
              <a:graphicFrameLocks noChangeAspect="1"/>
            </wp:cNvGraphicFramePr>
            <a:graphic>
              <a:graphicData uri="http://schemas.openxmlformats.org/drawingml/2006/picture">
                <pic:pic>
                  <pic:nvPicPr>
                    <pic:cNvPr id="0" name="index-155_2.png" descr="index-155_2.png"/>
                    <pic:cNvPicPr/>
                  </pic:nvPicPr>
                  <pic:blipFill>
                    <a:blip r:embed="rId363"/>
                    <a:stretch>
                      <a:fillRect/>
                    </a:stretch>
                  </pic:blipFill>
                  <pic:spPr>
                    <a:xfrm>
                      <a:off x="0" y="0"/>
                      <a:ext cx="914400" cy="444500"/>
                    </a:xfrm>
                    <a:prstGeom prst="rect">
                      <a:avLst/>
                    </a:prstGeom>
                  </pic:spPr>
                </pic:pic>
              </a:graphicData>
            </a:graphic>
          </wp:anchor>
        </w:drawing>
      </w:r>
    </w:p>
    <w:p>
      <w:pPr>
        <w:pStyle w:val="0 Block"/>
      </w:pPr>
    </w:p>
    <w:p>
      <w:bookmarkStart w:id="163" w:name="Chapter_6_3"/>
      <w:pPr>
        <w:pStyle w:val="Heading 1"/>
        <w:pageBreakBefore w:val="on"/>
      </w:pPr>
      <w:r>
        <w:t>Chapter 6</w:t>
      </w:r>
      <w:bookmarkEnd w:id="163"/>
    </w:p>
    <w:p>
      <w:pPr>
        <w:pStyle w:val="Para 25"/>
      </w:pPr>
      <w:r>
        <w:t/>
      </w:r>
    </w:p>
    <w:p>
      <w:pPr>
        <w:pStyle w:val="Para 09"/>
      </w:pPr>
      <w:r>
        <w:t xml:space="preserve">Email </w:t>
      </w:r>
    </w:p>
    <w:p>
      <w:pPr>
        <w:pStyle w:val="Para 25"/>
      </w:pPr>
      <w:r>
        <w:t/>
      </w:r>
    </w:p>
    <w:p>
      <w:pPr>
        <w:pStyle w:val="Normal"/>
      </w:pPr>
      <w:r>
        <w:t xml:space="preserve">A problem reported by email is one step behind that of a telephone-initiated ticket. Odds are </w:t>
      </w:r>
    </w:p>
    <w:p>
      <w:pPr>
        <w:pStyle w:val="Normal"/>
      </w:pPr>
      <w:r>
        <w:t xml:space="preserve">against you that all the necessary information will be contained within the email, which means that you will have to track down the user by telephone to manually complete a ticket. However, </w:t>
      </w:r>
    </w:p>
    <w:p>
      <w:pPr>
        <w:pStyle w:val="Normal"/>
      </w:pPr>
      <w:r>
        <w:t xml:space="preserve">if implemented properly, email can be as effective as a Web interface for the collection of </w:t>
      </w:r>
    </w:p>
    <w:p>
      <w:pPr>
        <w:pStyle w:val="Normal"/>
      </w:pPr>
      <w:r>
        <w:t xml:space="preserve">information. To create an efficient solution, an email form is used and sent to an automated process for populating the necessary data into your support system database. </w:t>
      </w:r>
    </w:p>
    <w:p>
      <w:pPr>
        <w:pStyle w:val="Para 25"/>
      </w:pPr>
      <w:r>
        <w:t/>
      </w:r>
    </w:p>
    <w:p>
      <w:pPr>
        <w:pStyle w:val="Para 02"/>
      </w:pPr>
      <w:r>
        <w:t xml:space="preserve">See Outlook Forms later in this chapter for additional discussion about email support requests. </w:t>
      </w:r>
    </w:p>
    <w:p>
      <w:pPr>
        <w:pStyle w:val="Para 25"/>
      </w:pPr>
      <w:r>
        <w:t/>
      </w:r>
    </w:p>
    <w:p>
      <w:pPr>
        <w:pStyle w:val="Para 09"/>
      </w:pPr>
      <w:r>
        <w:t xml:space="preserve">Walk Ups </w:t>
      </w:r>
    </w:p>
    <w:p>
      <w:pPr>
        <w:pStyle w:val="Para 25"/>
      </w:pPr>
      <w:r>
        <w:t/>
      </w:r>
    </w:p>
    <w:p>
      <w:pPr>
        <w:pStyle w:val="Normal"/>
      </w:pPr>
      <w:r>
        <w:t xml:space="preserve">Walk-up requests and complaints are the worst of the ways to initiate a trouble ticket. </w:t>
      </w:r>
    </w:p>
    <w:p>
      <w:pPr>
        <w:pStyle w:val="Normal"/>
      </w:pPr>
      <w:r>
        <w:t xml:space="preserve">Unfortunately, to the user, this method is often perceived as the best way. After all, they told Joe </w:t>
      </w:r>
    </w:p>
    <w:p>
      <w:pPr>
        <w:pStyle w:val="Normal"/>
      </w:pPr>
      <w:r>
        <w:t xml:space="preserve">about the problem, and Joe always helps them out. Chances are pretty good that these problems will be handled without a ticket being created—or might end up forgotten altogether. </w:t>
      </w:r>
    </w:p>
    <w:p>
      <w:pPr>
        <w:pStyle w:val="Para 25"/>
      </w:pPr>
      <w:r>
        <w:t/>
      </w:r>
    </w:p>
    <w:p>
      <w:pPr>
        <w:pStyle w:val="Para 02"/>
      </w:pPr>
      <w:r>
        <w:t xml:space="preserve">Without best practices in place, telephone, email, and especially walk-up support requests might go </w:t>
      </w:r>
    </w:p>
    <w:p>
      <w:pPr>
        <w:pStyle w:val="Para 02"/>
      </w:pPr>
      <w:r>
        <w:t xml:space="preserve">unrecorded in your ticket-tracking database. This lack of record would be an injustice, as you will not </w:t>
      </w:r>
    </w:p>
    <w:p>
      <w:pPr>
        <w:pStyle w:val="Para 02"/>
      </w:pPr>
      <w:r>
        <w:t xml:space="preserve">get credit for the problem you have solved. Most Help desk teams record data about the number of </w:t>
      </w:r>
    </w:p>
    <w:p>
      <w:pPr>
        <w:pStyle w:val="Para 02"/>
      </w:pPr>
      <w:r>
        <w:t xml:space="preserve">tickets they receive and how fast they are resolved as an important metric in judging the effectiveness </w:t>
      </w:r>
    </w:p>
    <w:p>
      <w:pPr>
        <w:pStyle w:val="Para 02"/>
      </w:pPr>
      <w:r>
        <w:t xml:space="preserve">and success of the team. Without a tracking system in place, you can easily answer questions and </w:t>
      </w:r>
    </w:p>
    <w:p>
      <w:pPr>
        <w:pStyle w:val="Para 02"/>
      </w:pPr>
      <w:r>
        <w:t xml:space="preserve">solve support problems throughout the day, but it will look to management like you did nothing. </w:t>
      </w:r>
    </w:p>
    <w:p>
      <w:pPr>
        <w:pStyle w:val="Para 25"/>
      </w:pPr>
      <w:r>
        <w:t/>
      </w:r>
    </w:p>
    <w:p>
      <w:pPr>
        <w:pStyle w:val="Para 07"/>
      </w:pPr>
      <w:r>
        <w:t xml:space="preserve">Using a Knowledge Base </w:t>
      </w:r>
    </w:p>
    <w:p>
      <w:pPr>
        <w:pStyle w:val="Normal"/>
      </w:pPr>
      <w:r>
        <w:t xml:space="preserve">Knowledge sharing is essential to providing an increased level of support and, when made </w:t>
      </w:r>
    </w:p>
    <w:p>
      <w:pPr>
        <w:pStyle w:val="Normal"/>
      </w:pPr>
      <w:r>
        <w:t xml:space="preserve">available to users, a decreased number of support calls. A knowledge base is a repository for </w:t>
      </w:r>
    </w:p>
    <w:p>
      <w:pPr>
        <w:pStyle w:val="Normal"/>
      </w:pPr>
      <w:r>
        <w:t xml:space="preserve">recording solutions to problems identified on your systems, specific to your organization. </w:t>
      </w:r>
    </w:p>
    <w:p>
      <w:pPr>
        <w:pStyle w:val="Para 25"/>
      </w:pPr>
      <w:r>
        <w:t/>
      </w:r>
    </w:p>
    <w:p>
      <w:pPr>
        <w:pStyle w:val="Normal"/>
      </w:pPr>
      <w:r>
        <w:t xml:space="preserve">There are several benefits of a mature knowledge base. Containing the past experience of those </w:t>
      </w:r>
    </w:p>
    <w:p>
      <w:pPr>
        <w:pStyle w:val="Normal"/>
      </w:pPr>
      <w:r>
        <w:t xml:space="preserve">that are either more knowledgeable or have spent several hours or days discovering a solution, a </w:t>
      </w:r>
    </w:p>
    <w:p>
      <w:pPr>
        <w:pStyle w:val="Normal"/>
      </w:pPr>
      <w:r>
        <w:t xml:space="preserve">knowledge base can help you avoid having to determine a solution for the same problem twice, and might even help to reduce the volume of trouble calls: </w:t>
      </w:r>
    </w:p>
    <w:p>
      <w:pPr>
        <w:pStyle w:val="Para 25"/>
      </w:pPr>
      <w:r>
        <w:t/>
      </w:r>
    </w:p>
    <w:p>
      <w:pPr>
        <w:pStyle w:val="Para 04"/>
      </w:pPr>
      <w:r>
        <w:t xml:space="preserve">• </w:t>
        <w:t xml:space="preserve">Faster resolution times—When a user calls in with a problem, a quick search of your </w:t>
      </w:r>
    </w:p>
    <w:p>
      <w:pPr>
        <w:pStyle w:val="Para 01"/>
      </w:pPr>
      <w:r>
        <w:t xml:space="preserve">knowledge base might provide the fastest answer. Most enterprise support departments </w:t>
      </w:r>
    </w:p>
    <w:p>
      <w:pPr>
        <w:pStyle w:val="Para 01"/>
      </w:pPr>
      <w:r>
        <w:t xml:space="preserve">utilize a knowledge base as an early step in the process of managing reported problems. In addition to speeding answers to users, this resource benefits less-experienced </w:t>
      </w:r>
    </w:p>
    <w:p>
      <w:pPr>
        <w:pStyle w:val="Para 01"/>
      </w:pPr>
      <w:r>
        <w:t xml:space="preserve">personnel, giving them the assistance of knowledge shared by those more knowledgeable </w:t>
      </w:r>
    </w:p>
    <w:p>
      <w:pPr>
        <w:pStyle w:val="Para 01"/>
      </w:pPr>
      <w:r>
        <w:t xml:space="preserve">in dealing with a specific problem.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60" name="index-156_1.png" descr="index-156_1.png"/>
            <wp:cNvGraphicFramePr>
              <a:graphicFrameLocks noChangeAspect="1"/>
            </wp:cNvGraphicFramePr>
            <a:graphic>
              <a:graphicData uri="http://schemas.openxmlformats.org/drawingml/2006/picture">
                <pic:pic>
                  <pic:nvPicPr>
                    <pic:cNvPr id="0" name="index-156_1.png" descr="index-156_1.png"/>
                    <pic:cNvPicPr/>
                  </pic:nvPicPr>
                  <pic:blipFill>
                    <a:blip r:embed="rId36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61" name="index-156_2.png" descr="index-156_2.png"/>
            <wp:cNvGraphicFramePr>
              <a:graphicFrameLocks noChangeAspect="1"/>
            </wp:cNvGraphicFramePr>
            <a:graphic>
              <a:graphicData uri="http://schemas.openxmlformats.org/drawingml/2006/picture">
                <pic:pic>
                  <pic:nvPicPr>
                    <pic:cNvPr id="0" name="index-156_2.png" descr="index-156_2.png"/>
                    <pic:cNvPicPr/>
                  </pic:nvPicPr>
                  <pic:blipFill>
                    <a:blip r:embed="rId365"/>
                    <a:stretch>
                      <a:fillRect/>
                    </a:stretch>
                  </pic:blipFill>
                  <pic:spPr>
                    <a:xfrm>
                      <a:off x="0" y="0"/>
                      <a:ext cx="914400" cy="444500"/>
                    </a:xfrm>
                    <a:prstGeom prst="rect">
                      <a:avLst/>
                    </a:prstGeom>
                  </pic:spPr>
                </pic:pic>
              </a:graphicData>
            </a:graphic>
          </wp:anchor>
        </w:drawing>
      </w:r>
    </w:p>
    <w:p>
      <w:pPr>
        <w:pStyle w:val="0 Block"/>
      </w:pPr>
    </w:p>
    <w:p>
      <w:bookmarkStart w:id="164" w:name="Chapter_6_4"/>
      <w:pPr>
        <w:pStyle w:val="Heading 1"/>
        <w:pageBreakBefore w:val="on"/>
      </w:pPr>
      <w:r>
        <w:t>Chapter 6</w:t>
      </w:r>
      <w:bookmarkEnd w:id="164"/>
    </w:p>
    <w:p>
      <w:pPr>
        <w:pStyle w:val="Para 25"/>
      </w:pPr>
      <w:r>
        <w:t/>
      </w:r>
    </w:p>
    <w:p>
      <w:pPr>
        <w:pStyle w:val="Para 04"/>
      </w:pPr>
      <w:r>
        <w:t xml:space="preserve">• </w:t>
        <w:t xml:space="preserve">Problem call reduction—Making a knowledge base available to users via an intranet Web </w:t>
      </w:r>
    </w:p>
    <w:p>
      <w:pPr>
        <w:pStyle w:val="Para 01"/>
      </w:pPr>
      <w:r>
        <w:t xml:space="preserve">site will benefit some organizations more than others; in the end, it should reduce the </w:t>
      </w:r>
    </w:p>
    <w:p>
      <w:pPr>
        <w:pStyle w:val="Para 01"/>
      </w:pPr>
      <w:r>
        <w:t xml:space="preserve">number of trouble tickets by some degree. A more technology-based organization is more </w:t>
      </w:r>
    </w:p>
    <w:p>
      <w:pPr>
        <w:pStyle w:val="Para 01"/>
      </w:pPr>
      <w:r>
        <w:t xml:space="preserve">likely to have users that would prefer to help themselves. Many problems may indeed require administrative privileges to solve, and some users will always pick up the phone </w:t>
      </w:r>
    </w:p>
    <w:p>
      <w:pPr>
        <w:pStyle w:val="Para 01"/>
      </w:pPr>
      <w:r>
        <w:t xml:space="preserve">before trying anything themselves. But an available knowledge base lets you take </w:t>
      </w:r>
    </w:p>
    <w:p>
      <w:pPr>
        <w:pStyle w:val="Para 01"/>
      </w:pPr>
      <w:r>
        <w:t xml:space="preserve">advantage of the population of users that will do whatever they can before they pick up the phone. </w:t>
      </w:r>
    </w:p>
    <w:p>
      <w:pPr>
        <w:pStyle w:val="Para 25"/>
      </w:pPr>
      <w:r>
        <w:t/>
      </w:r>
    </w:p>
    <w:p>
      <w:pPr>
        <w:pStyle w:val="Para 02"/>
      </w:pPr>
      <w:r>
        <w:t xml:space="preserve">Properly naming and categorizing a knowledge base entry can be critical to the useful of this </w:t>
      </w:r>
    </w:p>
    <w:p>
      <w:pPr>
        <w:pStyle w:val="Para 02"/>
      </w:pPr>
      <w:r>
        <w:t xml:space="preserve">resource. Failure to do so effectively can result in situations in which support staff and users cannot </w:t>
      </w:r>
    </w:p>
    <w:p>
      <w:pPr>
        <w:pStyle w:val="Para 02"/>
      </w:pPr>
      <w:r>
        <w:t xml:space="preserve">find what they are looking for even when the answer they seek has been provided. For some </w:t>
      </w:r>
    </w:p>
    <w:p>
      <w:pPr>
        <w:pStyle w:val="Para 02"/>
      </w:pPr>
      <w:r>
        <w:t xml:space="preserve">guidance in this area, you can obtain a draft of the Distributed Management Task Force (DMTF) </w:t>
      </w:r>
    </w:p>
    <w:p>
      <w:pPr>
        <w:pStyle w:val="Para 02"/>
      </w:pPr>
      <w:r>
        <w:t xml:space="preserve">paper “Using CIM for Support Activities” at http://www.dmtf.org/standards/cim_schema_v25.php as + </w:t>
      </w:r>
    </w:p>
    <w:p>
      <w:pPr>
        <w:pStyle w:val="Para 02"/>
      </w:pPr>
      <w:r>
        <w:t xml:space="preserve">CIM_Suport25. </w:t>
      </w:r>
    </w:p>
    <w:p>
      <w:pPr>
        <w:pStyle w:val="Para 25"/>
      </w:pPr>
      <w:r>
        <w:t/>
      </w:r>
    </w:p>
    <w:p>
      <w:pPr>
        <w:pStyle w:val="Normal"/>
      </w:pPr>
      <w:r>
        <w:t xml:space="preserve">A knowledge base can certainly be an excellent asset, but if it is not managed and maintained, it </w:t>
      </w:r>
    </w:p>
    <w:p>
      <w:pPr>
        <w:pStyle w:val="Normal"/>
      </w:pPr>
      <w:r>
        <w:t xml:space="preserve">will be worthless. Ensure that recording resolutions to problems in the knowledge base is an integral part of your process. Further, it is important that those entries be reviewed before </w:t>
      </w:r>
    </w:p>
    <w:p>
      <w:pPr>
        <w:pStyle w:val="Normal"/>
      </w:pPr>
      <w:r>
        <w:t xml:space="preserve">becoming available to the rest of the support staff and user population: </w:t>
      </w:r>
    </w:p>
    <w:p>
      <w:pPr>
        <w:pStyle w:val="Para 25"/>
      </w:pPr>
      <w:r>
        <w:t/>
      </w:r>
    </w:p>
    <w:p>
      <w:pPr>
        <w:pStyle w:val="Para 04"/>
      </w:pPr>
      <w:r>
        <w:t xml:space="preserve">• </w:t>
        <w:t xml:space="preserve">Entering solutions—If the answer to your question is in the knowledge base already, use </w:t>
      </w:r>
    </w:p>
    <w:p>
      <w:pPr>
        <w:pStyle w:val="Para 01"/>
      </w:pPr>
      <w:r>
        <w:t xml:space="preserve">the available information to close your ticket. If it is not or you need to perform additional actions or checks not present in the solution article, it is important that the </w:t>
      </w:r>
    </w:p>
    <w:p>
      <w:pPr>
        <w:pStyle w:val="Para 01"/>
      </w:pPr>
      <w:r>
        <w:t xml:space="preserve">knowledge base information be updated. If the solution to the problem you are addressing </w:t>
      </w:r>
    </w:p>
    <w:p>
      <w:pPr>
        <w:pStyle w:val="Para 01"/>
      </w:pPr>
      <w:r>
        <w:t xml:space="preserve">is not contained within the knowledge base at all, you need to create a new entry. Either way, new and modified entries should go through an approval process of some kind. </w:t>
      </w:r>
    </w:p>
    <w:p>
      <w:pPr>
        <w:pStyle w:val="Para 25"/>
      </w:pPr>
      <w:r>
        <w:t/>
      </w:r>
    </w:p>
    <w:p>
      <w:pPr>
        <w:pStyle w:val="Para 04"/>
      </w:pPr>
      <w:r>
        <w:t xml:space="preserve">• </w:t>
        <w:t xml:space="preserve">Entry approvals—A manager with a good background in troubleshooting (writing skills </w:t>
      </w:r>
    </w:p>
    <w:p>
      <w:pPr>
        <w:pStyle w:val="Para 01"/>
      </w:pPr>
      <w:r>
        <w:t xml:space="preserve">would be a definite plus) should be positioned to approve all knowledge base entries and </w:t>
      </w:r>
    </w:p>
    <w:p>
      <w:pPr>
        <w:pStyle w:val="Para 01"/>
      </w:pPr>
      <w:r>
        <w:t xml:space="preserve">modifications before they are made available. A poor practice or potentially damaging </w:t>
      </w:r>
    </w:p>
    <w:p>
      <w:pPr>
        <w:pStyle w:val="Para 01"/>
      </w:pPr>
      <w:r>
        <w:t xml:space="preserve">resolution is certainly not something you want in print for future encounters. </w:t>
      </w:r>
    </w:p>
    <w:p>
      <w:pPr>
        <w:pStyle w:val="Para 25"/>
      </w:pPr>
      <w:r>
        <w:t/>
      </w:r>
    </w:p>
    <w:p>
      <w:pPr>
        <w:pStyle w:val="Para 07"/>
      </w:pPr>
      <w:r>
        <w:t xml:space="preserve">Employing Remote Control </w:t>
      </w:r>
    </w:p>
    <w:p>
      <w:pPr>
        <w:pStyle w:val="Normal"/>
      </w:pPr>
      <w:r>
        <w:t xml:space="preserve">Remote control tools are among the most widely used desktop troubleshooting tools. Whether </w:t>
      </w:r>
    </w:p>
    <w:p>
      <w:pPr>
        <w:pStyle w:val="Normal"/>
      </w:pPr>
      <w:r>
        <w:t xml:space="preserve">the system your are supporting is down the hall or across the world, remote control is a direct </w:t>
      </w:r>
    </w:p>
    <w:p>
      <w:pPr>
        <w:pStyle w:val="Normal"/>
      </w:pPr>
      <w:r>
        <w:t xml:space="preserve">and convenient way to help a user through a problem or perform small-scale checks or changes. </w:t>
      </w:r>
    </w:p>
    <w:p>
      <w:pPr>
        <w:pStyle w:val="Para 25"/>
      </w:pPr>
      <w:r>
        <w:t/>
      </w:r>
    </w:p>
    <w:p>
      <w:pPr>
        <w:pStyle w:val="Normal"/>
      </w:pPr>
      <w:r>
        <w:t xml:space="preserve">If you don’t mind a lack of support and a reduced set of features, you can find a freeware solution to just about any software requirement—remote control is no exception. Microsoft has </w:t>
      </w:r>
    </w:p>
    <w:p>
      <w:pPr>
        <w:pStyle w:val="Normal"/>
      </w:pPr>
      <w:r>
        <w:t xml:space="preserve">begun including built-in support for such functionality and offers NetMeeting free of charge. </w:t>
      </w:r>
    </w:p>
    <w:p>
      <w:pPr>
        <w:pStyle w:val="Normal"/>
      </w:pPr>
      <w:r>
        <w:t xml:space="preserve">Additional solutions include the very popular Virtual Network Computing (VNC) remote control software from AT&amp;T. However, if you’re looking for a more complete feature set, consider a </w:t>
      </w:r>
    </w:p>
    <w:p>
      <w:pPr>
        <w:pStyle w:val="Normal"/>
      </w:pPr>
      <w:r>
        <w:t xml:space="preserve">third-party tool such as ScriptLogic’s Web-based remote control tool called Desktop Authority </w:t>
      </w:r>
    </w:p>
    <w:p>
      <w:pPr>
        <w:pStyle w:val="Normal"/>
      </w:pPr>
      <w:r>
        <w:t xml:space="preserve">or Symantec’s pcAnywhere.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62" name="index-157_1.png" descr="index-157_1.png"/>
            <wp:cNvGraphicFramePr>
              <a:graphicFrameLocks noChangeAspect="1"/>
            </wp:cNvGraphicFramePr>
            <a:graphic>
              <a:graphicData uri="http://schemas.openxmlformats.org/drawingml/2006/picture">
                <pic:pic>
                  <pic:nvPicPr>
                    <pic:cNvPr id="0" name="index-157_1.png" descr="index-157_1.png"/>
                    <pic:cNvPicPr/>
                  </pic:nvPicPr>
                  <pic:blipFill>
                    <a:blip r:embed="rId36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63" name="index-157_2.png" descr="index-157_2.png"/>
            <wp:cNvGraphicFramePr>
              <a:graphicFrameLocks noChangeAspect="1"/>
            </wp:cNvGraphicFramePr>
            <a:graphic>
              <a:graphicData uri="http://schemas.openxmlformats.org/drawingml/2006/picture">
                <pic:pic>
                  <pic:nvPicPr>
                    <pic:cNvPr id="0" name="index-157_2.png" descr="index-157_2.png"/>
                    <pic:cNvPicPr/>
                  </pic:nvPicPr>
                  <pic:blipFill>
                    <a:blip r:embed="rId367"/>
                    <a:stretch>
                      <a:fillRect/>
                    </a:stretch>
                  </pic:blipFill>
                  <pic:spPr>
                    <a:xfrm>
                      <a:off x="0" y="0"/>
                      <a:ext cx="914400" cy="444500"/>
                    </a:xfrm>
                    <a:prstGeom prst="rect">
                      <a:avLst/>
                    </a:prstGeom>
                  </pic:spPr>
                </pic:pic>
              </a:graphicData>
            </a:graphic>
          </wp:anchor>
        </w:drawing>
      </w:r>
    </w:p>
    <w:p>
      <w:pPr>
        <w:pStyle w:val="0 Block"/>
      </w:pPr>
    </w:p>
    <w:p>
      <w:bookmarkStart w:id="165" w:name="Chapter_6_5"/>
      <w:pPr>
        <w:pStyle w:val="Heading 1"/>
        <w:pageBreakBefore w:val="on"/>
      </w:pPr>
      <w:r>
        <w:t>Chapter 6</w:t>
      </w:r>
      <w:bookmarkEnd w:id="165"/>
    </w:p>
    <w:p>
      <w:pPr>
        <w:pStyle w:val="Para 25"/>
      </w:pPr>
      <w:r>
        <w:t/>
      </w:r>
    </w:p>
    <w:p>
      <w:pPr>
        <w:pStyle w:val="Para 09"/>
      </w:pPr>
      <w:r>
        <w:t xml:space="preserve">Microsoft </w:t>
      </w:r>
    </w:p>
    <w:p>
      <w:pPr>
        <w:pStyle w:val="Para 25"/>
      </w:pPr>
      <w:r>
        <w:t/>
      </w:r>
    </w:p>
    <w:p>
      <w:pPr>
        <w:pStyle w:val="Normal"/>
      </w:pPr>
      <w:r>
        <w:t xml:space="preserve">Microsoft provides several remote control solutions. Remote Desktop and Remote Assistance are </w:t>
      </w:r>
    </w:p>
    <w:p>
      <w:pPr>
        <w:pStyle w:val="Normal"/>
      </w:pPr>
      <w:r>
        <w:t xml:space="preserve">available only for Windows XP and later systems. NetMeeting is available for a much wider range of Windows systems and, although not free, Systems Management Server (SMS) provides </w:t>
      </w:r>
    </w:p>
    <w:p>
      <w:pPr>
        <w:pStyle w:val="Normal"/>
      </w:pPr>
      <w:r>
        <w:t xml:space="preserve">a commonly used remote control solution as well. </w:t>
      </w:r>
    </w:p>
    <w:p>
      <w:pPr>
        <w:pStyle w:val="Para 25"/>
      </w:pPr>
      <w:r>
        <w:t/>
      </w:r>
    </w:p>
    <w:p>
      <w:pPr>
        <w:pStyle w:val="Normal"/>
      </w:pPr>
      <w:r>
        <w:t xml:space="preserve">Remote Desktop is designed to provide remote desktop access to a Windows XP system. It is not a remote control tool, but I mention it in this context because it is a very helpful tool in desktop </w:t>
      </w:r>
    </w:p>
    <w:p>
      <w:pPr>
        <w:pStyle w:val="Normal"/>
      </w:pPr>
      <w:r>
        <w:t xml:space="preserve">administration. Use of Remote Desktop will log off any user on the remote system. Further, </w:t>
      </w:r>
    </w:p>
    <w:p>
      <w:pPr>
        <w:pStyle w:val="Normal"/>
      </w:pPr>
      <w:r>
        <w:t xml:space="preserve">someone sitting at the remote system will not see the desktop environment in which you are </w:t>
      </w:r>
    </w:p>
    <w:p>
      <w:pPr>
        <w:pStyle w:val="Normal"/>
      </w:pPr>
      <w:r>
        <w:t xml:space="preserve">working. Thus, it is a useful tool for performing remote operations; however, for actually working with users on a problem interactively, Microsoft now offers its Remote Assistance tool </w:t>
      </w:r>
    </w:p>
    <w:p>
      <w:pPr>
        <w:pStyle w:val="Normal"/>
      </w:pPr>
      <w:r>
        <w:t xml:space="preserve">(which I’ll discuss in a moment). </w:t>
      </w:r>
    </w:p>
    <w:p>
      <w:pPr>
        <w:pStyle w:val="Para 25"/>
      </w:pPr>
      <w:r>
        <w:t/>
      </w:r>
    </w:p>
    <w:p>
      <w:pPr>
        <w:pStyle w:val="Normal"/>
      </w:pPr>
      <w:r>
        <w:t xml:space="preserve">To configure a system as a valid host for Remote Desktop, select the </w:t>
      </w:r>
      <w:r>
        <w:rPr>
          <w:rStyle w:val="Text0"/>
        </w:rPr>
        <w:t>Allow users to connect remotely to this computer</w:t>
      </w:r>
      <w:r>
        <w:t xml:space="preserve"> check box on the Remote tab of the System Properties applet (see </w:t>
      </w:r>
    </w:p>
    <w:p>
      <w:pPr>
        <w:pStyle w:val="Normal"/>
      </w:pPr>
      <w:r>
        <w:t xml:space="preserve">Figure 6.2). By clicking Select Remote Users, you can specify groups or individual accounts that </w:t>
      </w:r>
    </w:p>
    <w:p>
      <w:pPr>
        <w:pStyle w:val="Normal"/>
      </w:pPr>
      <w:r>
        <w:t xml:space="preserve">are authorized to connect to the computer.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52700" cy="2959100"/>
            <wp:effectExtent l="0" r="0" t="0" b="0"/>
            <wp:wrapTopAndBottom/>
            <wp:docPr id="364" name="index-158_1.png" descr="index-158_1.png"/>
            <wp:cNvGraphicFramePr>
              <a:graphicFrameLocks noChangeAspect="1"/>
            </wp:cNvGraphicFramePr>
            <a:graphic>
              <a:graphicData uri="http://schemas.openxmlformats.org/drawingml/2006/picture">
                <pic:pic>
                  <pic:nvPicPr>
                    <pic:cNvPr id="0" name="index-158_1.png" descr="index-158_1.png"/>
                    <pic:cNvPicPr/>
                  </pic:nvPicPr>
                  <pic:blipFill>
                    <a:blip r:embed="rId368"/>
                    <a:stretch>
                      <a:fillRect/>
                    </a:stretch>
                  </pic:blipFill>
                  <pic:spPr>
                    <a:xfrm>
                      <a:off x="0" y="0"/>
                      <a:ext cx="2552700" cy="2959100"/>
                    </a:xfrm>
                    <a:prstGeom prst="rect">
                      <a:avLst/>
                    </a:prstGeom>
                  </pic:spPr>
                </pic:pic>
              </a:graphicData>
            </a:graphic>
          </wp:anchor>
        </w:drawing>
      </w:r>
    </w:p>
    <w:p>
      <w:pPr>
        <w:pStyle w:val="Para 25"/>
      </w:pPr>
      <w:r>
        <w:t/>
      </w:r>
    </w:p>
    <w:p>
      <w:pPr>
        <w:pStyle w:val="Para 28"/>
      </w:pPr>
      <w:r>
        <w:t xml:space="preserve"> </w:t>
      </w:r>
    </w:p>
    <w:p>
      <w:pPr>
        <w:pStyle w:val="Para 25"/>
      </w:pPr>
      <w:r>
        <w:t/>
      </w:r>
    </w:p>
    <w:p>
      <w:pPr>
        <w:pStyle w:val="Para 10"/>
      </w:pPr>
      <w:r>
        <w:t xml:space="preserve">Figure 6.2: Use the System applet to control Remote Assistance and Remote Desktop settings.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65" name="index-158_2.png" descr="index-158_2.png"/>
            <wp:cNvGraphicFramePr>
              <a:graphicFrameLocks noChangeAspect="1"/>
            </wp:cNvGraphicFramePr>
            <a:graphic>
              <a:graphicData uri="http://schemas.openxmlformats.org/drawingml/2006/picture">
                <pic:pic>
                  <pic:nvPicPr>
                    <pic:cNvPr id="0" name="index-158_2.png" descr="index-158_2.png"/>
                    <pic:cNvPicPr/>
                  </pic:nvPicPr>
                  <pic:blipFill>
                    <a:blip r:embed="rId36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66" name="index-158_3.png" descr="index-158_3.png"/>
            <wp:cNvGraphicFramePr>
              <a:graphicFrameLocks noChangeAspect="1"/>
            </wp:cNvGraphicFramePr>
            <a:graphic>
              <a:graphicData uri="http://schemas.openxmlformats.org/drawingml/2006/picture">
                <pic:pic>
                  <pic:nvPicPr>
                    <pic:cNvPr id="0" name="index-158_3.png" descr="index-158_3.png"/>
                    <pic:cNvPicPr/>
                  </pic:nvPicPr>
                  <pic:blipFill>
                    <a:blip r:embed="rId370"/>
                    <a:stretch>
                      <a:fillRect/>
                    </a:stretch>
                  </pic:blipFill>
                  <pic:spPr>
                    <a:xfrm>
                      <a:off x="0" y="0"/>
                      <a:ext cx="914400" cy="444500"/>
                    </a:xfrm>
                    <a:prstGeom prst="rect">
                      <a:avLst/>
                    </a:prstGeom>
                  </pic:spPr>
                </pic:pic>
              </a:graphicData>
            </a:graphic>
          </wp:anchor>
        </w:drawing>
      </w:r>
    </w:p>
    <w:p>
      <w:pPr>
        <w:pStyle w:val="0 Block"/>
      </w:pPr>
    </w:p>
    <w:p>
      <w:bookmarkStart w:id="166" w:name="Chapter_6_6"/>
      <w:pPr>
        <w:pStyle w:val="Heading 1"/>
        <w:pageBreakBefore w:val="on"/>
      </w:pPr>
      <w:r>
        <w:t>Chapter 6</w:t>
      </w:r>
      <w:bookmarkEnd w:id="166"/>
    </w:p>
    <w:p>
      <w:pPr>
        <w:pStyle w:val="Para 25"/>
      </w:pPr>
      <w:r>
        <w:t/>
      </w:r>
    </w:p>
    <w:p>
      <w:pPr>
        <w:pStyle w:val="Normal"/>
      </w:pPr>
      <w:r>
        <w:t xml:space="preserve">This setting enables the system to function as a host (to be remotely controlled). To actually </w:t>
      </w:r>
    </w:p>
    <w:p>
      <w:pPr>
        <w:pStyle w:val="Normal"/>
      </w:pPr>
      <w:r>
        <w:t xml:space="preserve">perform remote control operations, you will need to utilize the Remote Desktop Connection </w:t>
      </w:r>
    </w:p>
    <w:p>
      <w:pPr>
        <w:pStyle w:val="Normal"/>
      </w:pPr>
      <w:r>
        <w:t xml:space="preserve">client (a Terminal Services client software component). On Windows XP systems, this program is available in the Communications program group under Accessories in the Start menu. </w:t>
      </w:r>
    </w:p>
    <w:p>
      <w:pPr>
        <w:pStyle w:val="Para 25"/>
      </w:pPr>
      <w:r>
        <w:t/>
      </w:r>
    </w:p>
    <w:p>
      <w:pPr>
        <w:pStyle w:val="Normal"/>
      </w:pPr>
      <w:r>
        <w:t xml:space="preserve">For Windows 95, Windows 98, Windows ME, Windows NT, and Win2K systems, you can </w:t>
      </w:r>
    </w:p>
    <w:p>
      <w:pPr>
        <w:pStyle w:val="Normal"/>
      </w:pPr>
      <w:r>
        <w:t xml:space="preserve">install the client software so that you can connect to any properly configured Windows XP client. To install the Remote Desktop Connection client, insert the Windows XP CD-ROM, and click </w:t>
      </w:r>
    </w:p>
    <w:p>
      <w:pPr>
        <w:pStyle w:val="Normal"/>
      </w:pPr>
      <w:r>
        <w:rPr>
          <w:rStyle w:val="Text0"/>
        </w:rPr>
        <w:t>Perform additional tasks</w:t>
      </w:r>
      <w:r>
        <w:t xml:space="preserve"> from the Welcome page. You can also download the client setup from </w:t>
      </w:r>
    </w:p>
    <w:p>
      <w:pPr>
        <w:pStyle w:val="Normal"/>
      </w:pPr>
      <w:r>
        <w:t xml:space="preserve">Microsoft’s Web site at http://www.microsoft.com/windowsxp/pro/downloads/rdclientdl.asp. </w:t>
      </w:r>
    </w:p>
    <w:p>
      <w:pPr>
        <w:pStyle w:val="Para 25"/>
      </w:pPr>
      <w:r>
        <w:t/>
      </w:r>
    </w:p>
    <w:p>
      <w:pPr>
        <w:pStyle w:val="Para 02"/>
      </w:pPr>
      <w:r>
        <w:t xml:space="preserve">Accounts used for remote administration must not have blank passwords. Hopefully, this requirement </w:t>
      </w:r>
    </w:p>
    <w:p>
      <w:pPr>
        <w:pStyle w:val="Para 02"/>
      </w:pPr>
      <w:r>
        <w:t xml:space="preserve">will not be an issue in your production environment; in your lab, this issue is one to be aware of. </w:t>
      </w:r>
    </w:p>
    <w:p>
      <w:pPr>
        <w:pStyle w:val="Para 25"/>
      </w:pPr>
      <w:r>
        <w:t/>
      </w:r>
    </w:p>
    <w:p>
      <w:pPr>
        <w:pStyle w:val="Normal"/>
      </w:pPr>
      <w:r>
        <w:t xml:space="preserve">Not to be confused with Remote Desktop, which only allows one active session at a time per </w:t>
      </w:r>
    </w:p>
    <w:p>
      <w:pPr>
        <w:pStyle w:val="Normal"/>
      </w:pPr>
      <w:r>
        <w:t xml:space="preserve">computer, Remote Assistance allows both the owner and the remote user to control the computer </w:t>
      </w:r>
    </w:p>
    <w:p>
      <w:pPr>
        <w:pStyle w:val="Normal"/>
      </w:pPr>
      <w:r>
        <w:t xml:space="preserve">at the same time. It also provides additional support features such as keyboard and microphone chat. </w:t>
      </w:r>
    </w:p>
    <w:p>
      <w:pPr>
        <w:pStyle w:val="Para 25"/>
      </w:pPr>
      <w:r>
        <w:t/>
      </w:r>
    </w:p>
    <w:p>
      <w:pPr>
        <w:pStyle w:val="Normal"/>
      </w:pPr>
      <w:r>
        <w:t xml:space="preserve">Because security is a concern with this feature, establishing a connection is not a one-step </w:t>
      </w:r>
    </w:p>
    <w:p>
      <w:pPr>
        <w:pStyle w:val="Normal"/>
      </w:pPr>
      <w:r>
        <w:t xml:space="preserve">process (giving the remote computer plenty of opportunities to deny the session). The following </w:t>
      </w:r>
    </w:p>
    <w:p>
      <w:pPr>
        <w:pStyle w:val="Normal"/>
      </w:pPr>
      <w:r>
        <w:t xml:space="preserve">steps walk you though the process of initiating a Remote Assistance session: </w:t>
      </w:r>
    </w:p>
    <w:p>
      <w:pPr>
        <w:pStyle w:val="Para 25"/>
      </w:pPr>
      <w:r>
        <w:t/>
      </w:r>
    </w:p>
    <w:p>
      <w:pPr>
        <w:pStyle w:val="Normal"/>
      </w:pPr>
      <w:r>
        <w:t xml:space="preserve">User: </w:t>
      </w:r>
    </w:p>
    <w:p>
      <w:pPr>
        <w:pStyle w:val="Para 25"/>
      </w:pPr>
      <w:r>
        <w:t/>
      </w:r>
    </w:p>
    <w:p>
      <w:pPr>
        <w:pStyle w:val="Para 04"/>
      </w:pPr>
      <w:r>
        <w:rPr>
          <w:rStyle w:val="Text1"/>
        </w:rPr>
        <w:t xml:space="preserve">57. </w:t>
      </w:r>
      <w:r>
        <w:t xml:space="preserve">Click Start, Help and Support to open the Office XP Help and Support Center. </w:t>
      </w:r>
    </w:p>
    <w:p>
      <w:pPr>
        <w:pStyle w:val="Para 25"/>
      </w:pPr>
      <w:r>
        <w:t/>
      </w:r>
    </w:p>
    <w:p>
      <w:pPr>
        <w:pStyle w:val="Para 38"/>
      </w:pPr>
      <w:r>
        <w:rPr>
          <w:rStyle w:val="Text6"/>
        </w:rPr>
        <w:t xml:space="preserve">58. </w:t>
      </w:r>
      <w:r>
        <w:rPr>
          <w:rStyle w:val="Text0"/>
        </w:rPr>
        <w:t xml:space="preserve">Click the link in the upper left </w:t>
      </w:r>
      <w:r>
        <w:t xml:space="preserve">Invite a friend to connect to your computer with Remote </w:t>
      </w:r>
    </w:p>
    <w:p>
      <w:pPr>
        <w:pStyle w:val="Para 48"/>
      </w:pPr>
      <w:r>
        <w:t>Assistance</w:t>
      </w:r>
      <w:r>
        <w:rPr>
          <w:rStyle w:val="Text0"/>
        </w:rPr>
        <w:t xml:space="preserve">. </w:t>
      </w:r>
    </w:p>
    <w:p>
      <w:pPr>
        <w:pStyle w:val="Para 25"/>
      </w:pPr>
      <w:r>
        <w:t/>
      </w:r>
    </w:p>
    <w:p>
      <w:pPr>
        <w:pStyle w:val="Para 04"/>
      </w:pPr>
      <w:r>
        <w:rPr>
          <w:rStyle w:val="Text1"/>
        </w:rPr>
        <w:t xml:space="preserve">59. </w:t>
      </w:r>
      <w:r>
        <w:t xml:space="preserve">Select </w:t>
      </w:r>
      <w:r>
        <w:rPr>
          <w:rStyle w:val="Text0"/>
        </w:rPr>
        <w:t>Invite someone to help you</w:t>
      </w:r>
      <w:r>
        <w:t xml:space="preserve"> from the main Remote Assistance screen. </w:t>
      </w:r>
    </w:p>
    <w:p>
      <w:pPr>
        <w:pStyle w:val="Para 25"/>
      </w:pPr>
      <w:r>
        <w:t/>
      </w:r>
    </w:p>
    <w:p>
      <w:pPr>
        <w:pStyle w:val="Para 04"/>
      </w:pPr>
      <w:r>
        <w:rPr>
          <w:rStyle w:val="Text1"/>
        </w:rPr>
        <w:t xml:space="preserve">60. </w:t>
      </w:r>
      <w:r>
        <w:t xml:space="preserve">At the bottom of the screen select </w:t>
      </w:r>
      <w:r>
        <w:rPr>
          <w:rStyle w:val="Text0"/>
        </w:rPr>
        <w:t>Save invitation as a file (Advanced)</w:t>
      </w:r>
      <w:r>
        <w:t xml:space="preserve">. MSN Messenger </w:t>
      </w:r>
    </w:p>
    <w:p>
      <w:pPr>
        <w:pStyle w:val="Para 01"/>
      </w:pPr>
      <w:r>
        <w:t xml:space="preserve">or any MAPI mail account can also be used to initiate the session at this step in the </w:t>
      </w:r>
    </w:p>
    <w:p>
      <w:pPr>
        <w:pStyle w:val="Para 01"/>
      </w:pPr>
      <w:r>
        <w:t xml:space="preserve">process. </w:t>
      </w:r>
    </w:p>
    <w:p>
      <w:pPr>
        <w:pStyle w:val="Para 25"/>
      </w:pPr>
      <w:r>
        <w:t/>
      </w:r>
    </w:p>
    <w:p>
      <w:pPr>
        <w:pStyle w:val="Para 04"/>
      </w:pPr>
      <w:r>
        <w:rPr>
          <w:rStyle w:val="Text1"/>
        </w:rPr>
        <w:t xml:space="preserve">61. </w:t>
      </w:r>
      <w:r>
        <w:t xml:space="preserve">Specify the name that you want to appear on the invitation, and set a time period that the </w:t>
      </w:r>
    </w:p>
    <w:p>
      <w:pPr>
        <w:pStyle w:val="Para 01"/>
      </w:pPr>
      <w:r>
        <w:t xml:space="preserve">invitation should be set to expire in hours, minutes, or days. </w:t>
      </w:r>
    </w:p>
    <w:p>
      <w:pPr>
        <w:pStyle w:val="Para 25"/>
      </w:pPr>
      <w:r>
        <w:t/>
      </w:r>
    </w:p>
    <w:p>
      <w:pPr>
        <w:pStyle w:val="Para 04"/>
      </w:pPr>
      <w:r>
        <w:rPr>
          <w:rStyle w:val="Text1"/>
        </w:rPr>
        <w:t xml:space="preserve">62. </w:t>
      </w:r>
      <w:r>
        <w:t xml:space="preserve">Next specify a password, which the remote user will need to enter to make use of the </w:t>
      </w:r>
    </w:p>
    <w:p>
      <w:pPr>
        <w:pStyle w:val="Para 01"/>
      </w:pPr>
      <w:r>
        <w:t xml:space="preserve">invitation being created. </w:t>
      </w:r>
    </w:p>
    <w:p>
      <w:pPr>
        <w:pStyle w:val="Para 25"/>
      </w:pPr>
      <w:r>
        <w:t/>
      </w:r>
    </w:p>
    <w:p>
      <w:pPr>
        <w:pStyle w:val="Para 04"/>
      </w:pPr>
      <w:r>
        <w:rPr>
          <w:rStyle w:val="Text1"/>
        </w:rPr>
        <w:t xml:space="preserve">63. </w:t>
      </w:r>
      <w:r>
        <w:t xml:space="preserve">Click Save Invitation, and you will be prompted for a location to save the file, which will </w:t>
      </w:r>
    </w:p>
    <w:p>
      <w:pPr>
        <w:pStyle w:val="Para 01"/>
      </w:pPr>
      <w:r>
        <w:t xml:space="preserve">have a file extension of .msrcincident. </w:t>
      </w:r>
    </w:p>
    <w:p>
      <w:pPr>
        <w:pStyle w:val="Para 25"/>
      </w:pPr>
      <w:r>
        <w:t/>
      </w:r>
    </w:p>
    <w:p>
      <w:pPr>
        <w:pStyle w:val="Para 04"/>
      </w:pPr>
      <w:r>
        <w:rPr>
          <w:rStyle w:val="Text1"/>
        </w:rPr>
        <w:t xml:space="preserve">64. </w:t>
      </w:r>
      <w:r>
        <w:t xml:space="preserve">Email (or use any preferred method) to get the file to the administrator. </w:t>
      </w:r>
    </w:p>
    <w:p>
      <w:pPr>
        <w:pStyle w:val="Para 25"/>
      </w:pPr>
      <w:r>
        <w:t/>
      </w:r>
    </w:p>
    <w:p>
      <w:pPr>
        <w:pStyle w:val="Normal"/>
      </w:pPr>
      <w:r>
        <w:t xml:space="preserve">Administrator: </w:t>
      </w:r>
    </w:p>
    <w:p>
      <w:pPr>
        <w:pStyle w:val="Para 25"/>
      </w:pPr>
      <w:r>
        <w:t/>
      </w:r>
    </w:p>
    <w:p>
      <w:pPr>
        <w:pStyle w:val="Para 01"/>
      </w:pPr>
      <w:r>
        <w:t xml:space="preserve">The administrator must open the file received from the user. When he or she does so, as </w:t>
      </w:r>
    </w:p>
    <w:p>
      <w:pPr>
        <w:pStyle w:val="Para 01"/>
      </w:pPr>
      <w:r>
        <w:t xml:space="preserve">Figure 6.3 shows, a prompt will appear to connect and supply a password (if specified).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67" name="index-159_1.png" descr="index-159_1.png"/>
            <wp:cNvGraphicFramePr>
              <a:graphicFrameLocks noChangeAspect="1"/>
            </wp:cNvGraphicFramePr>
            <a:graphic>
              <a:graphicData uri="http://schemas.openxmlformats.org/drawingml/2006/picture">
                <pic:pic>
                  <pic:nvPicPr>
                    <pic:cNvPr id="0" name="index-159_1.png" descr="index-159_1.png"/>
                    <pic:cNvPicPr/>
                  </pic:nvPicPr>
                  <pic:blipFill>
                    <a:blip r:embed="rId37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68" name="index-159_2.png" descr="index-159_2.png"/>
            <wp:cNvGraphicFramePr>
              <a:graphicFrameLocks noChangeAspect="1"/>
            </wp:cNvGraphicFramePr>
            <a:graphic>
              <a:graphicData uri="http://schemas.openxmlformats.org/drawingml/2006/picture">
                <pic:pic>
                  <pic:nvPicPr>
                    <pic:cNvPr id="0" name="index-159_2.png" descr="index-159_2.png"/>
                    <pic:cNvPicPr/>
                  </pic:nvPicPr>
                  <pic:blipFill>
                    <a:blip r:embed="rId372"/>
                    <a:stretch>
                      <a:fillRect/>
                    </a:stretch>
                  </pic:blipFill>
                  <pic:spPr>
                    <a:xfrm>
                      <a:off x="0" y="0"/>
                      <a:ext cx="914400" cy="444500"/>
                    </a:xfrm>
                    <a:prstGeom prst="rect">
                      <a:avLst/>
                    </a:prstGeom>
                  </pic:spPr>
                </pic:pic>
              </a:graphicData>
            </a:graphic>
          </wp:anchor>
        </w:drawing>
      </w:r>
    </w:p>
    <w:p>
      <w:pPr>
        <w:pStyle w:val="0 Block"/>
      </w:pPr>
    </w:p>
    <w:p>
      <w:bookmarkStart w:id="167" w:name="Chapter_6_7"/>
      <w:pPr>
        <w:pStyle w:val="Heading 1"/>
        <w:pageBreakBefore w:val="on"/>
      </w:pPr>
      <w:r>
        <w:t>Chapter 6</w:t>
      </w:r>
      <w:bookmarkEnd w:id="16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90800" cy="1701800"/>
            <wp:effectExtent l="0" r="0" t="0" b="0"/>
            <wp:wrapTopAndBottom/>
            <wp:docPr id="369" name="index-160_1.png" descr="index-160_1.png"/>
            <wp:cNvGraphicFramePr>
              <a:graphicFrameLocks noChangeAspect="1"/>
            </wp:cNvGraphicFramePr>
            <a:graphic>
              <a:graphicData uri="http://schemas.openxmlformats.org/drawingml/2006/picture">
                <pic:pic>
                  <pic:nvPicPr>
                    <pic:cNvPr id="0" name="index-160_1.png" descr="index-160_1.png"/>
                    <pic:cNvPicPr/>
                  </pic:nvPicPr>
                  <pic:blipFill>
                    <a:blip r:embed="rId373"/>
                    <a:stretch>
                      <a:fillRect/>
                    </a:stretch>
                  </pic:blipFill>
                  <pic:spPr>
                    <a:xfrm>
                      <a:off x="0" y="0"/>
                      <a:ext cx="2590800" cy="1701800"/>
                    </a:xfrm>
                    <a:prstGeom prst="rect">
                      <a:avLst/>
                    </a:prstGeom>
                  </pic:spPr>
                </pic:pic>
              </a:graphicData>
            </a:graphic>
          </wp:anchor>
        </w:drawing>
      </w:r>
    </w:p>
    <w:p>
      <w:pPr>
        <w:pStyle w:val="Para 25"/>
      </w:pPr>
      <w:r>
        <w:t/>
      </w:r>
    </w:p>
    <w:p>
      <w:pPr>
        <w:pStyle w:val="Para 28"/>
      </w:pPr>
      <w:r>
        <w:t xml:space="preserve"> </w:t>
      </w:r>
    </w:p>
    <w:p>
      <w:pPr>
        <w:pStyle w:val="Para 25"/>
      </w:pPr>
      <w:r>
        <w:t/>
      </w:r>
    </w:p>
    <w:p>
      <w:pPr>
        <w:pStyle w:val="Para 10"/>
      </w:pPr>
      <w:r>
        <w:t xml:space="preserve">Figure 6.3: An example Remote Assistance invitation. </w:t>
      </w:r>
    </w:p>
    <w:p>
      <w:pPr>
        <w:pStyle w:val="Para 25"/>
      </w:pPr>
      <w:r>
        <w:t/>
      </w:r>
    </w:p>
    <w:p>
      <w:pPr>
        <w:pStyle w:val="Normal"/>
      </w:pPr>
      <w:r>
        <w:t xml:space="preserve">The Remote Assistance application will launch and wait for a response from the user. </w:t>
      </w:r>
    </w:p>
    <w:p>
      <w:pPr>
        <w:pStyle w:val="Para 25"/>
      </w:pPr>
      <w:r>
        <w:t/>
      </w:r>
    </w:p>
    <w:p>
      <w:pPr>
        <w:pStyle w:val="Normal"/>
      </w:pPr>
      <w:r>
        <w:t xml:space="preserve">User: </w:t>
      </w:r>
    </w:p>
    <w:p>
      <w:pPr>
        <w:pStyle w:val="Para 25"/>
      </w:pPr>
      <w:r>
        <w:t/>
      </w:r>
    </w:p>
    <w:p>
      <w:pPr>
        <w:pStyle w:val="Para 01"/>
      </w:pPr>
      <w:r>
        <w:t xml:space="preserve">Remote Assistance prompts the user with a window advising that the administrator has accepted the invitation and is ready to connect to the user’s computer. The user must </w:t>
      </w:r>
    </w:p>
    <w:p>
      <w:pPr>
        <w:pStyle w:val="Para 01"/>
      </w:pPr>
      <w:r>
        <w:t xml:space="preserve">accept this prompt by clicking OK for the session to begin. </w:t>
      </w:r>
    </w:p>
    <w:p>
      <w:pPr>
        <w:pStyle w:val="Para 25"/>
      </w:pPr>
      <w:r>
        <w:t/>
      </w:r>
    </w:p>
    <w:p>
      <w:pPr>
        <w:pStyle w:val="Normal"/>
      </w:pPr>
      <w:r>
        <w:t xml:space="preserve">Once the session is established, a Remote Assistance window is presented with chat, file transfer, and control options. </w:t>
      </w:r>
    </w:p>
    <w:p>
      <w:pPr>
        <w:pStyle w:val="Para 25"/>
      </w:pPr>
      <w:r>
        <w:t/>
      </w:r>
    </w:p>
    <w:p>
      <w:pPr>
        <w:pStyle w:val="Normal"/>
      </w:pPr>
      <w:r>
        <w:t xml:space="preserve">Administrator: </w:t>
      </w:r>
    </w:p>
    <w:p>
      <w:pPr>
        <w:pStyle w:val="Para 25"/>
      </w:pPr>
      <w:r>
        <w:t/>
      </w:r>
    </w:p>
    <w:p>
      <w:pPr>
        <w:pStyle w:val="Para 01"/>
      </w:pPr>
      <w:r>
        <w:t xml:space="preserve">When first initiated, the remote system can be viewed but not manipulated by the </w:t>
      </w:r>
    </w:p>
    <w:p>
      <w:pPr>
        <w:pStyle w:val="Para 01"/>
      </w:pPr>
      <w:r>
        <w:t xml:space="preserve">administrator. To request control, the administrator must click Take Control at the top left of the screen. </w:t>
      </w:r>
    </w:p>
    <w:p>
      <w:pPr>
        <w:pStyle w:val="Para 25"/>
      </w:pPr>
      <w:r>
        <w:t/>
      </w:r>
    </w:p>
    <w:p>
      <w:pPr>
        <w:pStyle w:val="Normal"/>
      </w:pPr>
      <w:r>
        <w:t xml:space="preserve">User: </w:t>
      </w:r>
    </w:p>
    <w:p>
      <w:pPr>
        <w:pStyle w:val="Para 25"/>
      </w:pPr>
      <w:r>
        <w:t/>
      </w:r>
    </w:p>
    <w:p>
      <w:pPr>
        <w:pStyle w:val="Para 01"/>
      </w:pPr>
      <w:r>
        <w:t xml:space="preserve">The user is prompted to allow or disallow the administrator from being able to share control of the user’s desktop (mouse and keyboard movements). </w:t>
      </w:r>
    </w:p>
    <w:p>
      <w:pPr>
        <w:pStyle w:val="Para 25"/>
      </w:pPr>
      <w:r>
        <w:t/>
      </w:r>
    </w:p>
    <w:p>
      <w:pPr>
        <w:pStyle w:val="Para 02"/>
      </w:pPr>
      <w:r>
        <w:t xml:space="preserve">If the local or remote computer is behind a firewall, the firewall will need to be configured to allow </w:t>
      </w:r>
    </w:p>
    <w:p>
      <w:pPr>
        <w:pStyle w:val="Para 02"/>
      </w:pPr>
      <w:r>
        <w:t xml:space="preserve">Remote Assistance traffic via outbound TCP port 3398. </w:t>
      </w:r>
    </w:p>
    <w:p>
      <w:pPr>
        <w:pStyle w:val="Para 25"/>
      </w:pPr>
      <w:r>
        <w:t/>
      </w:r>
    </w:p>
    <w:p>
      <w:pPr>
        <w:pStyle w:val="Para 02"/>
      </w:pPr>
      <w:r>
        <w:t xml:space="preserve">Remote Desktop Web Connection is a Win32-based ActiveX control (COM object) that you can use </w:t>
      </w:r>
    </w:p>
    <w:p>
      <w:pPr>
        <w:pStyle w:val="Para 02"/>
      </w:pPr>
      <w:r>
        <w:t xml:space="preserve">to run Remote Desktop sessions from within Internet Explorer (IE). This version is the latest of what </w:t>
      </w:r>
    </w:p>
    <w:p>
      <w:pPr>
        <w:pStyle w:val="Para 02"/>
      </w:pPr>
      <w:r>
        <w:t xml:space="preserve">was previously referred to as the Terminal Services Advanced Client (TSAC). You can download this </w:t>
      </w:r>
    </w:p>
    <w:p>
      <w:pPr>
        <w:pStyle w:val="Para 02"/>
      </w:pPr>
      <w:r>
        <w:t xml:space="preserve">control from http://www.microsoft.com/windowsxp/pro/downloads/rdwebconn.asp.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70" name="index-160_2.png" descr="index-160_2.png"/>
            <wp:cNvGraphicFramePr>
              <a:graphicFrameLocks noChangeAspect="1"/>
            </wp:cNvGraphicFramePr>
            <a:graphic>
              <a:graphicData uri="http://schemas.openxmlformats.org/drawingml/2006/picture">
                <pic:pic>
                  <pic:nvPicPr>
                    <pic:cNvPr id="0" name="index-160_2.png" descr="index-160_2.png"/>
                    <pic:cNvPicPr/>
                  </pic:nvPicPr>
                  <pic:blipFill>
                    <a:blip r:embed="rId37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71" name="index-160_3.png" descr="index-160_3.png"/>
            <wp:cNvGraphicFramePr>
              <a:graphicFrameLocks noChangeAspect="1"/>
            </wp:cNvGraphicFramePr>
            <a:graphic>
              <a:graphicData uri="http://schemas.openxmlformats.org/drawingml/2006/picture">
                <pic:pic>
                  <pic:nvPicPr>
                    <pic:cNvPr id="0" name="index-160_3.png" descr="index-160_3.png"/>
                    <pic:cNvPicPr/>
                  </pic:nvPicPr>
                  <pic:blipFill>
                    <a:blip r:embed="rId375"/>
                    <a:stretch>
                      <a:fillRect/>
                    </a:stretch>
                  </pic:blipFill>
                  <pic:spPr>
                    <a:xfrm>
                      <a:off x="0" y="0"/>
                      <a:ext cx="914400" cy="444500"/>
                    </a:xfrm>
                    <a:prstGeom prst="rect">
                      <a:avLst/>
                    </a:prstGeom>
                  </pic:spPr>
                </pic:pic>
              </a:graphicData>
            </a:graphic>
          </wp:anchor>
        </w:drawing>
      </w:r>
    </w:p>
    <w:p>
      <w:pPr>
        <w:pStyle w:val="0 Block"/>
      </w:pPr>
    </w:p>
    <w:p>
      <w:bookmarkStart w:id="168" w:name="Chapter_6_8"/>
      <w:pPr>
        <w:pStyle w:val="Heading 1"/>
        <w:pageBreakBefore w:val="on"/>
      </w:pPr>
      <w:r>
        <w:t>Chapter 6</w:t>
      </w:r>
      <w:bookmarkEnd w:id="168"/>
    </w:p>
    <w:p>
      <w:pPr>
        <w:pStyle w:val="Para 25"/>
      </w:pPr>
      <w:r>
        <w:t/>
      </w:r>
    </w:p>
    <w:p>
      <w:pPr>
        <w:pStyle w:val="Normal"/>
      </w:pPr>
      <w:r>
        <w:t xml:space="preserve">Another free Microsoft remote control tool, NetMeeting is often used for chatting and video </w:t>
      </w:r>
    </w:p>
    <w:p>
      <w:pPr>
        <w:pStyle w:val="Normal"/>
      </w:pPr>
      <w:r>
        <w:t xml:space="preserve">conferencing. However, there is also a desktop sharing option that allows users to share specific </w:t>
      </w:r>
    </w:p>
    <w:p>
      <w:pPr>
        <w:pStyle w:val="Normal"/>
      </w:pPr>
      <w:r>
        <w:t xml:space="preserve">applications and allow or disallow control of the application to the remote user. As Figure 6.4 shows, a PowerPoint presentation is being shared and a dialog box that is not shared has </w:t>
      </w:r>
    </w:p>
    <w:p>
      <w:pPr>
        <w:pStyle w:val="Normal"/>
      </w:pPr>
      <w:r>
        <w:t xml:space="preserve">appeared on the screen of the host system. Because the contents of the dialog box are not being </w:t>
      </w:r>
    </w:p>
    <w:p>
      <w:pPr>
        <w:pStyle w:val="Normal"/>
      </w:pPr>
      <w:r>
        <w:t xml:space="preserve">shared, this remote view hides the dialog box from the remote system. The dialog box covers a portion of the work area, and NetMeeting presents a box pattern in its place, effectively hiding </w:t>
      </w:r>
    </w:p>
    <w:p>
      <w:pPr>
        <w:pStyle w:val="Normal"/>
      </w:pPr>
      <w:r>
        <w:t xml:space="preserve">the dialog box.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667000"/>
            <wp:effectExtent l="0" r="0" t="0" b="0"/>
            <wp:wrapTopAndBottom/>
            <wp:docPr id="372" name="index-161_1.png" descr="index-161_1.png"/>
            <wp:cNvGraphicFramePr>
              <a:graphicFrameLocks noChangeAspect="1"/>
            </wp:cNvGraphicFramePr>
            <a:graphic>
              <a:graphicData uri="http://schemas.openxmlformats.org/drawingml/2006/picture">
                <pic:pic>
                  <pic:nvPicPr>
                    <pic:cNvPr id="0" name="index-161_1.png" descr="index-161_1.png"/>
                    <pic:cNvPicPr/>
                  </pic:nvPicPr>
                  <pic:blipFill>
                    <a:blip r:embed="rId376"/>
                    <a:stretch>
                      <a:fillRect/>
                    </a:stretch>
                  </pic:blipFill>
                  <pic:spPr>
                    <a:xfrm>
                      <a:off x="0" y="0"/>
                      <a:ext cx="3810000" cy="26670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6.4: NetMeeting desktop sharing allows for the sharing of specific applications; others, such as the </w:t>
        <w:t xml:space="preserve">unavailable dialog box that appears here, cannot be seen by the remote user. </w:t>
      </w:r>
    </w:p>
    <w:p>
      <w:pPr>
        <w:pStyle w:val="Para 25"/>
      </w:pPr>
      <w:r>
        <w:t/>
      </w:r>
    </w:p>
    <w:p>
      <w:pPr>
        <w:pStyle w:val="Normal"/>
      </w:pPr>
      <w:r>
        <w:t xml:space="preserve">Although not free, Microsoft’s SMS tool it is worth mentioning here as its remote control tool is among the most widely used in large organizations. (SMS may be considered “free” to those that </w:t>
      </w:r>
    </w:p>
    <w:p>
      <w:pPr>
        <w:pStyle w:val="Normal"/>
      </w:pPr>
      <w:r>
        <w:t xml:space="preserve">own BackOffice or have its licensing covered by an Enterprise License Agreement). Although </w:t>
      </w:r>
    </w:p>
    <w:p>
      <w:pPr>
        <w:pStyle w:val="Normal"/>
      </w:pPr>
      <w:r>
        <w:t xml:space="preserve">very useful, this tool is a complicated and robust program that offers much more than remote control features. Thus, SMS can be very dangerous in the wrong hands. If you are using, or plan </w:t>
      </w:r>
    </w:p>
    <w:p>
      <w:pPr>
        <w:pStyle w:val="Normal"/>
      </w:pPr>
      <w:r>
        <w:t xml:space="preserve">to make use of, SMS as your remote control solution, be sure to restrict access to those features </w:t>
      </w:r>
    </w:p>
    <w:p>
      <w:pPr>
        <w:pStyle w:val="Normal"/>
      </w:pPr>
      <w:r>
        <w:t xml:space="preserve">not necessary for desktop support. For details about how to use SMS to remotely support users, </w:t>
      </w:r>
    </w:p>
    <w:p>
      <w:pPr>
        <w:pStyle w:val="Normal"/>
      </w:pPr>
      <w:r>
        <w:t xml:space="preserve">see the Microsoft article “SMS: How to Set Up a Help Desk Administrator” at http://support.microsoft.com/default.aspx?scid=kb;en-us;252674. </w:t>
      </w:r>
    </w:p>
    <w:p>
      <w:pPr>
        <w:pStyle w:val="Para 25"/>
      </w:pPr>
      <w:r>
        <w:t/>
      </w:r>
    </w:p>
    <w:p>
      <w:pPr>
        <w:pStyle w:val="Normal"/>
      </w:pPr>
      <w:r>
        <w:t xml:space="preserve">SMS 2003 integrates three remote control technologies: SMS remote control, Terminal Services, </w:t>
      </w:r>
    </w:p>
    <w:p>
      <w:pPr>
        <w:pStyle w:val="Normal"/>
      </w:pPr>
      <w:r>
        <w:t xml:space="preserve">and Remote Assistance. You control access to remote control through the SMS admin console.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73" name="index-161_2.png" descr="index-161_2.png"/>
            <wp:cNvGraphicFramePr>
              <a:graphicFrameLocks noChangeAspect="1"/>
            </wp:cNvGraphicFramePr>
            <a:graphic>
              <a:graphicData uri="http://schemas.openxmlformats.org/drawingml/2006/picture">
                <pic:pic>
                  <pic:nvPicPr>
                    <pic:cNvPr id="0" name="index-161_2.png" descr="index-161_2.png"/>
                    <pic:cNvPicPr/>
                  </pic:nvPicPr>
                  <pic:blipFill>
                    <a:blip r:embed="rId37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74" name="index-161_3.png" descr="index-161_3.png"/>
            <wp:cNvGraphicFramePr>
              <a:graphicFrameLocks noChangeAspect="1"/>
            </wp:cNvGraphicFramePr>
            <a:graphic>
              <a:graphicData uri="http://schemas.openxmlformats.org/drawingml/2006/picture">
                <pic:pic>
                  <pic:nvPicPr>
                    <pic:cNvPr id="0" name="index-161_3.png" descr="index-161_3.png"/>
                    <pic:cNvPicPr/>
                  </pic:nvPicPr>
                  <pic:blipFill>
                    <a:blip r:embed="rId378"/>
                    <a:stretch>
                      <a:fillRect/>
                    </a:stretch>
                  </pic:blipFill>
                  <pic:spPr>
                    <a:xfrm>
                      <a:off x="0" y="0"/>
                      <a:ext cx="914400" cy="444500"/>
                    </a:xfrm>
                    <a:prstGeom prst="rect">
                      <a:avLst/>
                    </a:prstGeom>
                  </pic:spPr>
                </pic:pic>
              </a:graphicData>
            </a:graphic>
          </wp:anchor>
        </w:drawing>
      </w:r>
    </w:p>
    <w:p>
      <w:pPr>
        <w:pStyle w:val="0 Block"/>
      </w:pPr>
    </w:p>
    <w:p>
      <w:bookmarkStart w:id="169" w:name="Chapter_6_9"/>
      <w:pPr>
        <w:pStyle w:val="Heading 1"/>
        <w:pageBreakBefore w:val="on"/>
      </w:pPr>
      <w:r>
        <w:t>Chapter 6</w:t>
      </w:r>
      <w:bookmarkEnd w:id="169"/>
    </w:p>
    <w:p>
      <w:pPr>
        <w:pStyle w:val="Para 25"/>
      </w:pPr>
      <w:r>
        <w:t/>
      </w:r>
    </w:p>
    <w:p>
      <w:pPr>
        <w:pStyle w:val="Para 02"/>
      </w:pPr>
      <w:r>
        <w:t xml:space="preserve">In many environments, Microsoft SMS is used almost exclusively as a remote control tool despite its </w:t>
      </w:r>
    </w:p>
    <w:p>
      <w:pPr>
        <w:pStyle w:val="Para 02"/>
      </w:pPr>
      <w:r>
        <w:t xml:space="preserve">many additional features (and their inherent complexities). In fact, such is the case to such an extent </w:t>
      </w:r>
    </w:p>
    <w:p>
      <w:pPr>
        <w:pStyle w:val="Para 02"/>
      </w:pPr>
      <w:r>
        <w:t xml:space="preserve">that about 80 percent of the resumes that I have seen that boast SMS experience turn out to be </w:t>
      </w:r>
    </w:p>
    <w:p>
      <w:pPr>
        <w:pStyle w:val="Para 02"/>
      </w:pPr>
      <w:r>
        <w:t xml:space="preserve">simply the use of its remote control functionality. Used as a verb, I have often been told “I SMS </w:t>
      </w:r>
    </w:p>
    <w:p>
      <w:pPr>
        <w:pStyle w:val="Para 02"/>
      </w:pPr>
      <w:r>
        <w:t xml:space="preserve">computers all day helping users.” </w:t>
      </w:r>
    </w:p>
    <w:p>
      <w:pPr>
        <w:pStyle w:val="Para 25"/>
      </w:pPr>
      <w:r>
        <w:t/>
      </w:r>
    </w:p>
    <w:p>
      <w:pPr>
        <w:pStyle w:val="Para 09"/>
      </w:pPr>
      <w:r>
        <w:t xml:space="preserve">AT&amp;T </w:t>
      </w:r>
    </w:p>
    <w:p>
      <w:pPr>
        <w:pStyle w:val="Para 25"/>
      </w:pPr>
      <w:r>
        <w:t/>
      </w:r>
    </w:p>
    <w:p>
      <w:pPr>
        <w:pStyle w:val="Normal"/>
      </w:pPr>
      <w:r>
        <w:t xml:space="preserve">With a stable reputation and the fact that it is free, AT&amp;T’s VNC is a very popular remote control solution. Though its security features are lacking, it is very easy to operate and supports </w:t>
      </w:r>
    </w:p>
    <w:p>
      <w:pPr>
        <w:pStyle w:val="Normal"/>
      </w:pPr>
      <w:r>
        <w:t xml:space="preserve">many OSs. </w:t>
      </w:r>
    </w:p>
    <w:p>
      <w:pPr>
        <w:pStyle w:val="Para 25"/>
      </w:pPr>
      <w:r>
        <w:t/>
      </w:r>
    </w:p>
    <w:p>
      <w:pPr>
        <w:pStyle w:val="Normal"/>
      </w:pPr>
      <w:r>
        <w:t xml:space="preserve">VNC utilizes its VNC protocol to redirect the display of a system. This tool’s design is based on the concept of a remote frame buffer (RFB). The protocol simply allows a server to update the </w:t>
      </w:r>
    </w:p>
    <w:p>
      <w:pPr>
        <w:pStyle w:val="Normal"/>
      </w:pPr>
      <w:r>
        <w:t xml:space="preserve">frame buffer displayed on a viewer (as Figure 6.5 shows). Because it works at this low level, you </w:t>
      </w:r>
    </w:p>
    <w:p>
      <w:pPr>
        <w:pStyle w:val="Normal"/>
      </w:pPr>
      <w:r>
        <w:t xml:space="preserve">can use VNC on any OS. Currently there are client applications (viewers) for Linux, Solaris, Windows, Macintosh, DEC Alpha, and Windows CE. The protocol will operate over any reliable </w:t>
      </w:r>
    </w:p>
    <w:p>
      <w:pPr>
        <w:pStyle w:val="Normal"/>
      </w:pPr>
      <w:r>
        <w:t xml:space="preserve">transport, such as TCP/IP. </w:t>
      </w:r>
    </w:p>
    <w:p>
      <w:pPr>
        <w:pStyle w:val="Para 25"/>
      </w:pPr>
      <w:r>
        <w:t/>
      </w:r>
    </w:p>
    <w:p>
      <w:pPr>
        <w:pStyle w:val="Para 13"/>
      </w:pPr>
      <w:r>
        <w:t xml:space="preserve"> </w:t>
      </w:r>
    </w:p>
    <w:p>
      <w:pPr>
        <w:pStyle w:val="Para 25"/>
      </w:pPr>
      <w:r>
        <w:t/>
      </w:r>
    </w:p>
    <w:p>
      <w:pPr>
        <w:pStyle w:val="Para 10"/>
      </w:pPr>
      <w:r>
        <w:t xml:space="preserve">Figure 6.5: A VNC viewer session.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75" name="index-162_1.png" descr="index-162_1.png"/>
            <wp:cNvGraphicFramePr>
              <a:graphicFrameLocks noChangeAspect="1"/>
            </wp:cNvGraphicFramePr>
            <a:graphic>
              <a:graphicData uri="http://schemas.openxmlformats.org/drawingml/2006/picture">
                <pic:pic>
                  <pic:nvPicPr>
                    <pic:cNvPr id="0" name="index-162_1.png" descr="index-162_1.png"/>
                    <pic:cNvPicPr/>
                  </pic:nvPicPr>
                  <pic:blipFill>
                    <a:blip r:embed="rId37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76" name="index-162_2.png" descr="index-162_2.png"/>
            <wp:cNvGraphicFramePr>
              <a:graphicFrameLocks noChangeAspect="1"/>
            </wp:cNvGraphicFramePr>
            <a:graphic>
              <a:graphicData uri="http://schemas.openxmlformats.org/drawingml/2006/picture">
                <pic:pic>
                  <pic:nvPicPr>
                    <pic:cNvPr id="0" name="index-162_2.png" descr="index-162_2.png"/>
                    <pic:cNvPicPr/>
                  </pic:nvPicPr>
                  <pic:blipFill>
                    <a:blip r:embed="rId380"/>
                    <a:stretch>
                      <a:fillRect/>
                    </a:stretch>
                  </pic:blipFill>
                  <pic:spPr>
                    <a:xfrm>
                      <a:off x="0" y="0"/>
                      <a:ext cx="914400" cy="444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2984500"/>
            <wp:effectExtent l="0" r="0" t="0" b="0"/>
            <wp:wrapTopAndBottom/>
            <wp:docPr id="377" name="index-162_3.png" descr="index-162_3.png"/>
            <wp:cNvGraphicFramePr>
              <a:graphicFrameLocks noChangeAspect="1"/>
            </wp:cNvGraphicFramePr>
            <a:graphic>
              <a:graphicData uri="http://schemas.openxmlformats.org/drawingml/2006/picture">
                <pic:pic>
                  <pic:nvPicPr>
                    <pic:cNvPr id="0" name="index-162_3.png" descr="index-162_3.png"/>
                    <pic:cNvPicPr/>
                  </pic:nvPicPr>
                  <pic:blipFill>
                    <a:blip r:embed="rId381"/>
                    <a:stretch>
                      <a:fillRect/>
                    </a:stretch>
                  </pic:blipFill>
                  <pic:spPr>
                    <a:xfrm>
                      <a:off x="0" y="0"/>
                      <a:ext cx="3810000" cy="2984500"/>
                    </a:xfrm>
                    <a:prstGeom prst="rect">
                      <a:avLst/>
                    </a:prstGeom>
                  </pic:spPr>
                </pic:pic>
              </a:graphicData>
            </a:graphic>
          </wp:anchor>
        </w:drawing>
      </w:r>
    </w:p>
    <w:p>
      <w:pPr>
        <w:pStyle w:val="0 Block"/>
      </w:pPr>
    </w:p>
    <w:p>
      <w:bookmarkStart w:id="170" w:name="Chapter_6_10"/>
      <w:pPr>
        <w:pStyle w:val="Heading 1"/>
        <w:pageBreakBefore w:val="on"/>
      </w:pPr>
      <w:r>
        <w:t>Chapter 6</w:t>
      </w:r>
      <w:bookmarkEnd w:id="170"/>
    </w:p>
    <w:p>
      <w:pPr>
        <w:pStyle w:val="Para 25"/>
      </w:pPr>
      <w:r>
        <w:t/>
      </w:r>
    </w:p>
    <w:p>
      <w:pPr>
        <w:pStyle w:val="Para 02"/>
      </w:pPr>
      <w:r>
        <w:t xml:space="preserve">To use this tool, install the VNC Server on the machine that you want to remotely control. Then, using </w:t>
      </w:r>
    </w:p>
    <w:p>
      <w:pPr>
        <w:pStyle w:val="Para 02"/>
      </w:pPr>
      <w:r>
        <w:t xml:space="preserve">the VNC Viewer software, you can connect to any system running this VNC Server component. If you </w:t>
      </w:r>
    </w:p>
    <w:p>
      <w:pPr>
        <w:pStyle w:val="Para 02"/>
      </w:pPr>
      <w:r>
        <w:t xml:space="preserve">are having trouble connecting to a server, try specifying the IP address of the VNC Server system. </w:t>
      </w:r>
    </w:p>
    <w:p>
      <w:pPr>
        <w:pStyle w:val="Para 25"/>
      </w:pPr>
      <w:r>
        <w:t/>
      </w:r>
    </w:p>
    <w:p>
      <w:pPr>
        <w:pStyle w:val="Para 02"/>
      </w:pPr>
      <w:r>
        <w:t xml:space="preserve">VNC is available from AT&amp;T at http://www.uk.research.att.com/vnc/. </w:t>
      </w:r>
    </w:p>
    <w:p>
      <w:pPr>
        <w:pStyle w:val="Para 25"/>
      </w:pPr>
      <w:r>
        <w:t/>
      </w:r>
    </w:p>
    <w:p>
      <w:pPr>
        <w:pStyle w:val="Para 27"/>
      </w:pPr>
      <w:r>
        <w:t xml:space="preserve"> Another freeware remote control product that is starting to build a following is Specrem Pro. This tool </w:t>
      </w:r>
    </w:p>
    <w:p>
      <w:pPr>
        <w:pStyle w:val="Para 02"/>
      </w:pPr>
      <w:r>
        <w:t xml:space="preserve">is an open source project by Farid Bengrid and Antti Kirjavainen of Finland. In addition to the features </w:t>
      </w:r>
    </w:p>
    <w:p>
      <w:pPr>
        <w:pStyle w:val="Para 02"/>
      </w:pPr>
      <w:r>
        <w:t xml:space="preserve">that you would expect from a remote control product, Specrem also lets you control multiple </w:t>
      </w:r>
    </w:p>
    <w:p>
      <w:pPr>
        <w:pStyle w:val="Para 02"/>
      </w:pPr>
      <w:r>
        <w:t xml:space="preserve">computers at the same time. To learn more about Specrem Pro, visit http://specrem.sourceforge.net/. </w:t>
      </w:r>
    </w:p>
    <w:p>
      <w:pPr>
        <w:pStyle w:val="Para 25"/>
      </w:pPr>
      <w:r>
        <w:t/>
      </w:r>
    </w:p>
    <w:p>
      <w:pPr>
        <w:pStyle w:val="Para 09"/>
      </w:pPr>
      <w:r>
        <w:t xml:space="preserve">Paying for the Good Stuff </w:t>
      </w:r>
    </w:p>
    <w:p>
      <w:pPr>
        <w:pStyle w:val="Para 25"/>
      </w:pPr>
      <w:r>
        <w:t/>
      </w:r>
    </w:p>
    <w:p>
      <w:pPr>
        <w:pStyle w:val="Normal"/>
      </w:pPr>
      <w:r>
        <w:t xml:space="preserve">In addition to these free (with the exception of SMS) remote control tools, there are several </w:t>
      </w:r>
    </w:p>
    <w:p>
      <w:pPr>
        <w:pStyle w:val="Normal"/>
      </w:pPr>
      <w:r>
        <w:t xml:space="preserve">feature-rich third-party solutions available on the market for your consideration. Many of these </w:t>
      </w:r>
    </w:p>
    <w:p>
      <w:pPr>
        <w:pStyle w:val="Normal"/>
      </w:pPr>
      <w:r>
        <w:t xml:space="preserve">products integrate with desktop management solutions and provide benefits not found in many of </w:t>
      </w:r>
    </w:p>
    <w:p>
      <w:pPr>
        <w:pStyle w:val="Normal"/>
      </w:pPr>
      <w:r>
        <w:t xml:space="preserve">their free counterparts, including: </w:t>
      </w:r>
    </w:p>
    <w:p>
      <w:pPr>
        <w:pStyle w:val="Para 25"/>
      </w:pPr>
      <w:r>
        <w:t/>
      </w:r>
    </w:p>
    <w:p>
      <w:pPr>
        <w:pStyle w:val="Para 04"/>
      </w:pPr>
      <w:r>
        <w:t xml:space="preserve">• Increased speed </w:t>
      </w:r>
    </w:p>
    <w:p>
      <w:pPr>
        <w:pStyle w:val="Para 25"/>
      </w:pPr>
      <w:r>
        <w:t/>
      </w:r>
    </w:p>
    <w:p>
      <w:pPr>
        <w:pStyle w:val="Para 04"/>
      </w:pPr>
      <w:r>
        <w:t xml:space="preserve">• Increased security </w:t>
      </w:r>
    </w:p>
    <w:p>
      <w:pPr>
        <w:pStyle w:val="Para 25"/>
      </w:pPr>
      <w:r>
        <w:t/>
      </w:r>
    </w:p>
    <w:p>
      <w:pPr>
        <w:pStyle w:val="Para 04"/>
      </w:pPr>
      <w:r>
        <w:t xml:space="preserve">• Integrated deployment </w:t>
      </w:r>
    </w:p>
    <w:p>
      <w:pPr>
        <w:pStyle w:val="Para 25"/>
      </w:pPr>
      <w:r>
        <w:t/>
      </w:r>
    </w:p>
    <w:p>
      <w:pPr>
        <w:pStyle w:val="Para 04"/>
      </w:pPr>
      <w:r>
        <w:t xml:space="preserve">• Support for mobile devices </w:t>
      </w:r>
    </w:p>
    <w:p>
      <w:pPr>
        <w:pStyle w:val="Para 25"/>
      </w:pPr>
      <w:r>
        <w:t/>
      </w:r>
    </w:p>
    <w:p>
      <w:pPr>
        <w:pStyle w:val="Para 04"/>
      </w:pPr>
      <w:r>
        <w:t xml:space="preserve">• No client software </w:t>
      </w:r>
    </w:p>
    <w:p>
      <w:pPr>
        <w:pStyle w:val="Para 25"/>
      </w:pPr>
      <w:r>
        <w:t/>
      </w:r>
    </w:p>
    <w:p>
      <w:pPr>
        <w:pStyle w:val="Para 04"/>
      </w:pPr>
      <w:r>
        <w:t xml:space="preserve">• Cross platform support </w:t>
      </w:r>
    </w:p>
    <w:p>
      <w:pPr>
        <w:pStyle w:val="Para 25"/>
      </w:pPr>
      <w:r>
        <w:t/>
      </w:r>
    </w:p>
    <w:p>
      <w:pPr>
        <w:pStyle w:val="Para 14"/>
      </w:pPr>
      <w:r>
        <w:t xml:space="preserve"> Remote </w:t>
        <w:t xml:space="preserve">Control </w:t>
        <w:t xml:space="preserve">Vendors </w:t>
      </w:r>
    </w:p>
    <w:p>
      <w:pPr>
        <w:pStyle w:val="Para 14"/>
      </w:pPr>
      <w:r>
        <w:t xml:space="preserve"> The following list offers remote control tool vendors to get you started in your search: </w:t>
      </w:r>
    </w:p>
    <w:p>
      <w:pPr>
        <w:pStyle w:val="Para 14"/>
      </w:pPr>
      <w:r>
        <w:t xml:space="preserve"> ScriptLogic Desktop Authority at http://www.scriptlogic.com </w:t>
      </w:r>
    </w:p>
    <w:p>
      <w:pPr>
        <w:pStyle w:val="Para 14"/>
      </w:pPr>
      <w:r>
        <w:t xml:space="preserve"> Symantec pcAnywhere at </w:t>
        <w:t>http://www.symantec.com/pcanywhere/</w:t>
      </w:r>
    </w:p>
    <w:p>
      <w:pPr>
        <w:pStyle w:val="Para 14"/>
      </w:pPr>
      <w:r>
        <w:t xml:space="preserve"> NetSupport Manager </w:t>
        <w:t>http://www.netsupport-inc.com/NSM/</w:t>
      </w:r>
    </w:p>
    <w:p>
      <w:pPr>
        <w:pStyle w:val="Para 14"/>
      </w:pPr>
      <w:r>
        <w:t xml:space="preserve"> 3am Labs RemotelyAnywhere at </w:t>
        <w:t>http://www.remotelyanywhere.com/</w:t>
      </w:r>
    </w:p>
    <w:p>
      <w:pPr>
        <w:pStyle w:val="Para 14"/>
      </w:pPr>
      <w:r>
        <w:t xml:space="preserve"> Netopia Timbuktu at </w:t>
        <w:t>http://www.netopia.com/en-us/software/products/tb2/</w:t>
      </w:r>
    </w:p>
    <w:p>
      <w:pPr>
        <w:pStyle w:val="Para 25"/>
      </w:pPr>
      <w:r>
        <w:t/>
      </w:r>
    </w:p>
    <w:p>
      <w:pPr>
        <w:pStyle w:val="Para 02"/>
      </w:pPr>
      <w:r>
        <w:t xml:space="preserve">You can find feature summaries and links to downloads for a wide range of remote control solutions </w:t>
      </w:r>
    </w:p>
    <w:p>
      <w:pPr>
        <w:pStyle w:val="Para 02"/>
      </w:pPr>
      <w:r>
        <w:t xml:space="preserve">at http://appdeploy.com/downloads.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78" name="index-163_1.png" descr="index-163_1.png"/>
            <wp:cNvGraphicFramePr>
              <a:graphicFrameLocks noChangeAspect="1"/>
            </wp:cNvGraphicFramePr>
            <a:graphic>
              <a:graphicData uri="http://schemas.openxmlformats.org/drawingml/2006/picture">
                <pic:pic>
                  <pic:nvPicPr>
                    <pic:cNvPr id="0" name="index-163_1.png" descr="index-163_1.png"/>
                    <pic:cNvPicPr/>
                  </pic:nvPicPr>
                  <pic:blipFill>
                    <a:blip r:embed="rId38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79" name="index-163_2.png" descr="index-163_2.png"/>
            <wp:cNvGraphicFramePr>
              <a:graphicFrameLocks noChangeAspect="1"/>
            </wp:cNvGraphicFramePr>
            <a:graphic>
              <a:graphicData uri="http://schemas.openxmlformats.org/drawingml/2006/picture">
                <pic:pic>
                  <pic:nvPicPr>
                    <pic:cNvPr id="0" name="index-163_2.png" descr="index-163_2.png"/>
                    <pic:cNvPicPr/>
                  </pic:nvPicPr>
                  <pic:blipFill>
                    <a:blip r:embed="rId383"/>
                    <a:stretch>
                      <a:fillRect/>
                    </a:stretch>
                  </pic:blipFill>
                  <pic:spPr>
                    <a:xfrm>
                      <a:off x="0" y="0"/>
                      <a:ext cx="914400" cy="444500"/>
                    </a:xfrm>
                    <a:prstGeom prst="rect">
                      <a:avLst/>
                    </a:prstGeom>
                  </pic:spPr>
                </pic:pic>
              </a:graphicData>
            </a:graphic>
          </wp:anchor>
        </w:drawing>
      </w:r>
    </w:p>
    <w:p>
      <w:pPr>
        <w:pStyle w:val="0 Block"/>
      </w:pPr>
    </w:p>
    <w:p>
      <w:bookmarkStart w:id="171" w:name="Chapter_6_11"/>
      <w:pPr>
        <w:pStyle w:val="Heading 1"/>
        <w:pageBreakBefore w:val="on"/>
      </w:pPr>
      <w:r>
        <w:t>Chapter 6</w:t>
      </w:r>
      <w:bookmarkEnd w:id="171"/>
    </w:p>
    <w:p>
      <w:pPr>
        <w:pStyle w:val="Para 25"/>
      </w:pPr>
      <w:r>
        <w:t/>
      </w:r>
    </w:p>
    <w:p>
      <w:pPr>
        <w:pStyle w:val="Para 12"/>
      </w:pPr>
      <w:r>
        <w:t xml:space="preserve">Working through Problems </w:t>
      </w:r>
    </w:p>
    <w:p>
      <w:pPr>
        <w:pStyle w:val="Para 25"/>
      </w:pPr>
      <w:r>
        <w:t/>
      </w:r>
    </w:p>
    <w:p>
      <w:pPr>
        <w:pStyle w:val="Normal"/>
      </w:pPr>
      <w:r>
        <w:t xml:space="preserve">Although it is beyond the scope of any book to tell you how to solve all your problems (wouldn’t </w:t>
      </w:r>
    </w:p>
    <w:p>
      <w:pPr>
        <w:pStyle w:val="Normal"/>
      </w:pPr>
      <w:r>
        <w:t xml:space="preserve">you love that book?), there are several typical obstacles and troubleshooting methods you can </w:t>
      </w:r>
    </w:p>
    <w:p>
      <w:pPr>
        <w:pStyle w:val="Normal"/>
      </w:pPr>
      <w:r>
        <w:t xml:space="preserve">apply to most problems. In this section, I’ll start out by discussing a few basic problems that are common to most networks, then we’ll explore troubleshooting logic as it applies to desktop </w:t>
      </w:r>
    </w:p>
    <w:p>
      <w:pPr>
        <w:pStyle w:val="Normal"/>
      </w:pPr>
      <w:r>
        <w:t xml:space="preserve">administration. </w:t>
      </w:r>
    </w:p>
    <w:p>
      <w:pPr>
        <w:pStyle w:val="Para 25"/>
      </w:pPr>
      <w:r>
        <w:t/>
      </w:r>
    </w:p>
    <w:p>
      <w:pPr>
        <w:pStyle w:val="Para 07"/>
      </w:pPr>
      <w:r>
        <w:t xml:space="preserve">What is Your System’s Computer Name? </w:t>
      </w:r>
    </w:p>
    <w:p>
      <w:pPr>
        <w:pStyle w:val="Normal"/>
      </w:pPr>
      <w:r>
        <w:t xml:space="preserve">When a user calls with a problem, do you know the computer name of the user’s system? If you </w:t>
      </w:r>
    </w:p>
    <w:p>
      <w:pPr>
        <w:pStyle w:val="Normal"/>
      </w:pPr>
      <w:r>
        <w:t xml:space="preserve">have chosen an effective naming convention for your systems, you might be able to identify the user’s machine quickly. However, particularly in larger environments, the computer name is </w:t>
      </w:r>
    </w:p>
    <w:p>
      <w:pPr>
        <w:pStyle w:val="Normal"/>
      </w:pPr>
      <w:r>
        <w:t xml:space="preserve">often an unknown fact that must be investigated. Such being the case, the ability to quickly </w:t>
      </w:r>
    </w:p>
    <w:p>
      <w:pPr>
        <w:pStyle w:val="Normal"/>
      </w:pPr>
      <w:r>
        <w:t xml:space="preserve">resolve the user’s problem begins with quick identification of the system about which the user is </w:t>
      </w:r>
    </w:p>
    <w:p>
      <w:pPr>
        <w:pStyle w:val="Normal"/>
      </w:pPr>
      <w:r>
        <w:t xml:space="preserve">reporting a problem. The following list provides common best practices for doing just that: </w:t>
      </w:r>
    </w:p>
    <w:p>
      <w:pPr>
        <w:pStyle w:val="Para 25"/>
      </w:pPr>
      <w:r>
        <w:t/>
      </w:r>
    </w:p>
    <w:p>
      <w:pPr>
        <w:pStyle w:val="Para 04"/>
      </w:pPr>
      <w:r>
        <w:t xml:space="preserve">• Asset management database—A well-maintained asset management database often </w:t>
      </w:r>
    </w:p>
    <w:p>
      <w:pPr>
        <w:pStyle w:val="Para 01"/>
      </w:pPr>
      <w:r>
        <w:t xml:space="preserve">identifies the primary user of a system. This database is the perfect look-up tool for </w:t>
      </w:r>
    </w:p>
    <w:p>
      <w:pPr>
        <w:pStyle w:val="Para 01"/>
      </w:pPr>
      <w:r>
        <w:t xml:space="preserve">accessing a wealth of information about the system and the user. Some support desks </w:t>
      </w:r>
    </w:p>
    <w:p>
      <w:pPr>
        <w:pStyle w:val="Para 01"/>
      </w:pPr>
      <w:r>
        <w:t xml:space="preserve">have even gone so far as to incorporate an automatic presentation of information based on the phone number from which the user is calling. Not having to ask the user for </w:t>
      </w:r>
    </w:p>
    <w:p>
      <w:pPr>
        <w:pStyle w:val="Para 01"/>
      </w:pPr>
      <w:r>
        <w:t xml:space="preserve">information other than what the problem is adds in a great level of efficiency to the </w:t>
      </w:r>
    </w:p>
    <w:p>
      <w:pPr>
        <w:pStyle w:val="Para 01"/>
      </w:pPr>
      <w:r>
        <w:t xml:space="preserve">support process. </w:t>
      </w:r>
    </w:p>
    <w:p>
      <w:pPr>
        <w:pStyle w:val="Para 25"/>
      </w:pPr>
      <w:r>
        <w:t/>
      </w:r>
    </w:p>
    <w:p>
      <w:pPr>
        <w:pStyle w:val="Para 04"/>
      </w:pPr>
      <w:r>
        <w:t xml:space="preserve">• </w:t>
        <w:t xml:space="preserve">My Computer icon—When asked for the computer name of their systems, users often ask </w:t>
      </w:r>
    </w:p>
    <w:p>
      <w:pPr>
        <w:pStyle w:val="Para 01"/>
      </w:pPr>
      <w:r>
        <w:t xml:space="preserve">“Where should I look?” Having them bring up the System applet, then select the </w:t>
      </w:r>
    </w:p>
    <w:p>
      <w:pPr>
        <w:pStyle w:val="Para 01"/>
      </w:pPr>
      <w:r>
        <w:t xml:space="preserve">Computer Name tab is certainly not the most efficient way to spend the first minutes of a </w:t>
      </w:r>
    </w:p>
    <w:p>
      <w:pPr>
        <w:pStyle w:val="Para 01"/>
      </w:pPr>
      <w:r>
        <w:t xml:space="preserve">support call. One popular way to make this information easily available is to change the </w:t>
      </w:r>
    </w:p>
    <w:p>
      <w:pPr>
        <w:pStyle w:val="Para 01"/>
      </w:pPr>
      <w:r>
        <w:t>text identifying the My Computer icon to that of the computer name. To do so on Windows XP systems, manipulate the HKEY_CLASSES_ROOT\CLSID\{20D04FE0-</w:t>
      </w:r>
    </w:p>
    <w:p>
      <w:pPr>
        <w:pStyle w:val="Para 01"/>
      </w:pPr>
      <w:r>
        <w:t xml:space="preserve">3AEA-1069-A2D8-08002B30309D} registry key by setting the value of LocalizedString </w:t>
      </w:r>
    </w:p>
    <w:p>
      <w:pPr>
        <w:pStyle w:val="Para 01"/>
      </w:pPr>
      <w:r>
        <w:t xml:space="preserve">of type REG_EXPAND_SZ to %COMPUTERNAME%. </w:t>
      </w:r>
    </w:p>
    <w:p>
      <w:pPr>
        <w:pStyle w:val="Para 25"/>
      </w:pPr>
      <w:r>
        <w:t/>
      </w:r>
    </w:p>
    <w:p>
      <w:pPr>
        <w:pStyle w:val="Para 04"/>
      </w:pPr>
      <w:r>
        <w:t xml:space="preserve">• </w:t>
        <w:t xml:space="preserve">Stickers—A sticker or other manually attached identification is yet another common way </w:t>
      </w:r>
    </w:p>
    <w:p>
      <w:pPr>
        <w:pStyle w:val="Para 01"/>
      </w:pPr>
      <w:r>
        <w:t xml:space="preserve">to make systems easy to identify. One primary benefit to this method is easy </w:t>
      </w:r>
    </w:p>
    <w:p>
      <w:pPr>
        <w:pStyle w:val="Para 01"/>
      </w:pPr>
      <w:r>
        <w:t xml:space="preserve">identification when the system is powered off. If the machine will not start, you are going </w:t>
      </w:r>
    </w:p>
    <w:p>
      <w:pPr>
        <w:pStyle w:val="Para 01"/>
      </w:pPr>
      <w:r>
        <w:t xml:space="preserve">to have a very difficult time getting a look at that My Computer icon. </w:t>
      </w:r>
    </w:p>
    <w:p>
      <w:pPr>
        <w:pStyle w:val="Para 25"/>
      </w:pPr>
      <w:r>
        <w:t/>
      </w:r>
    </w:p>
    <w:p>
      <w:pPr>
        <w:pStyle w:val="Para 07"/>
      </w:pPr>
      <w:r>
        <w:t xml:space="preserve">Where is that Computer? </w:t>
      </w:r>
    </w:p>
    <w:p>
      <w:pPr>
        <w:pStyle w:val="Normal"/>
      </w:pPr>
      <w:r>
        <w:t xml:space="preserve">Once you have identified a computer on the network, often you don’t know where it is located or to whom it belongs. If this situation sounds absurd to you, you are doing something right. A </w:t>
      </w:r>
    </w:p>
    <w:p>
      <w:pPr>
        <w:pStyle w:val="Normal"/>
      </w:pPr>
      <w:r>
        <w:t xml:space="preserve">well-planned naming convention and asset-management system will make such information </w:t>
      </w:r>
    </w:p>
    <w:p>
      <w:pPr>
        <w:pStyle w:val="Normal"/>
      </w:pPr>
      <w:r>
        <w:t xml:space="preserve">readily available. However, there are many organizations that need to improve things. To that end, the following list offers ways to identify the location of a computer on the network: </w:t>
      </w:r>
    </w:p>
    <w:p>
      <w:pPr>
        <w:pStyle w:val="Para 25"/>
      </w:pPr>
      <w:r>
        <w:t/>
      </w:r>
    </w:p>
    <w:p>
      <w:pPr>
        <w:pStyle w:val="Para 04"/>
      </w:pPr>
      <w:r>
        <w:t xml:space="preserve">• </w:t>
        <w:t xml:space="preserve">AD—In AD, a location field is associated within the properties of each system (as Figure </w:t>
      </w:r>
    </w:p>
    <w:p>
      <w:pPr>
        <w:pStyle w:val="Para 01"/>
      </w:pPr>
      <w:r>
        <w:t xml:space="preserve">6.6 shows). However, this value is only useful if it has been configured; the default value </w:t>
      </w:r>
    </w:p>
    <w:p>
      <w:pPr>
        <w:pStyle w:val="Para 01"/>
      </w:pPr>
      <w:r>
        <w:t xml:space="preserve">is not populated automatically. Setting this value should be a part of the process used </w:t>
      </w:r>
    </w:p>
    <w:p>
      <w:pPr>
        <w:pStyle w:val="Para 01"/>
      </w:pPr>
      <w:r>
        <w:t xml:space="preserve">when creating any new computer account on the network.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80" name="index-164_1.png" descr="index-164_1.png"/>
            <wp:cNvGraphicFramePr>
              <a:graphicFrameLocks noChangeAspect="1"/>
            </wp:cNvGraphicFramePr>
            <a:graphic>
              <a:graphicData uri="http://schemas.openxmlformats.org/drawingml/2006/picture">
                <pic:pic>
                  <pic:nvPicPr>
                    <pic:cNvPr id="0" name="index-164_1.png" descr="index-164_1.png"/>
                    <pic:cNvPicPr/>
                  </pic:nvPicPr>
                  <pic:blipFill>
                    <a:blip r:embed="rId38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81" name="index-164_2.png" descr="index-164_2.png"/>
            <wp:cNvGraphicFramePr>
              <a:graphicFrameLocks noChangeAspect="1"/>
            </wp:cNvGraphicFramePr>
            <a:graphic>
              <a:graphicData uri="http://schemas.openxmlformats.org/drawingml/2006/picture">
                <pic:pic>
                  <pic:nvPicPr>
                    <pic:cNvPr id="0" name="index-164_2.png" descr="index-164_2.png"/>
                    <pic:cNvPicPr/>
                  </pic:nvPicPr>
                  <pic:blipFill>
                    <a:blip r:embed="rId385"/>
                    <a:stretch>
                      <a:fillRect/>
                    </a:stretch>
                  </pic:blipFill>
                  <pic:spPr>
                    <a:xfrm>
                      <a:off x="0" y="0"/>
                      <a:ext cx="914400" cy="444500"/>
                    </a:xfrm>
                    <a:prstGeom prst="rect">
                      <a:avLst/>
                    </a:prstGeom>
                  </pic:spPr>
                </pic:pic>
              </a:graphicData>
            </a:graphic>
          </wp:anchor>
        </w:drawing>
      </w:r>
    </w:p>
    <w:p>
      <w:pPr>
        <w:pStyle w:val="0 Block"/>
      </w:pPr>
    </w:p>
    <w:p>
      <w:bookmarkStart w:id="172" w:name="Chapter_6_12"/>
      <w:pPr>
        <w:pStyle w:val="Heading 1"/>
        <w:pageBreakBefore w:val="on"/>
      </w:pPr>
      <w:r>
        <w:t>Chapter 6</w:t>
      </w:r>
      <w:bookmarkEnd w:id="17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76500" cy="2743200"/>
            <wp:effectExtent l="0" r="0" t="0" b="0"/>
            <wp:wrapTopAndBottom/>
            <wp:docPr id="382" name="index-165_1.png" descr="index-165_1.png"/>
            <wp:cNvGraphicFramePr>
              <a:graphicFrameLocks noChangeAspect="1"/>
            </wp:cNvGraphicFramePr>
            <a:graphic>
              <a:graphicData uri="http://schemas.openxmlformats.org/drawingml/2006/picture">
                <pic:pic>
                  <pic:nvPicPr>
                    <pic:cNvPr id="0" name="index-165_1.png" descr="index-165_1.png"/>
                    <pic:cNvPicPr/>
                  </pic:nvPicPr>
                  <pic:blipFill>
                    <a:blip r:embed="rId386"/>
                    <a:stretch>
                      <a:fillRect/>
                    </a:stretch>
                  </pic:blipFill>
                  <pic:spPr>
                    <a:xfrm>
                      <a:off x="0" y="0"/>
                      <a:ext cx="2476500" cy="2743200"/>
                    </a:xfrm>
                    <a:prstGeom prst="rect">
                      <a:avLst/>
                    </a:prstGeom>
                  </pic:spPr>
                </pic:pic>
              </a:graphicData>
            </a:graphic>
          </wp:anchor>
        </w:drawing>
      </w:r>
    </w:p>
    <w:p>
      <w:pPr>
        <w:pStyle w:val="Para 25"/>
      </w:pPr>
      <w:r>
        <w:t/>
      </w:r>
    </w:p>
    <w:p>
      <w:pPr>
        <w:pStyle w:val="Para 28"/>
      </w:pPr>
      <w:r>
        <w:t xml:space="preserve"> </w:t>
      </w:r>
    </w:p>
    <w:p>
      <w:pPr>
        <w:pStyle w:val="Para 25"/>
      </w:pPr>
      <w:r>
        <w:t/>
      </w:r>
    </w:p>
    <w:p>
      <w:pPr>
        <w:pStyle w:val="Para 10"/>
      </w:pPr>
      <w:r>
        <w:t xml:space="preserve">Figure 6.6: The AD Location tab in Computer Properties. </w:t>
      </w:r>
    </w:p>
    <w:p>
      <w:pPr>
        <w:pStyle w:val="Para 25"/>
      </w:pPr>
      <w:r>
        <w:t/>
      </w:r>
    </w:p>
    <w:p>
      <w:pPr>
        <w:pStyle w:val="Para 04"/>
      </w:pPr>
      <w:r>
        <w:t xml:space="preserve">• </w:t>
        <w:t xml:space="preserve">Asset management database—As discussed previously, an asset management database is </w:t>
      </w:r>
    </w:p>
    <w:p>
      <w:pPr>
        <w:pStyle w:val="Para 01"/>
      </w:pPr>
      <w:r>
        <w:t xml:space="preserve">a common place to track the primary user of a system, among many other things—such </w:t>
      </w:r>
    </w:p>
    <w:p>
      <w:pPr>
        <w:pStyle w:val="Para 01"/>
      </w:pPr>
      <w:r>
        <w:t xml:space="preserve">as the location of a computer. </w:t>
      </w:r>
    </w:p>
    <w:p>
      <w:pPr>
        <w:pStyle w:val="Para 25"/>
      </w:pPr>
      <w:r>
        <w:t/>
      </w:r>
    </w:p>
    <w:p>
      <w:pPr>
        <w:pStyle w:val="Para 02"/>
      </w:pPr>
      <w:r>
        <w:t xml:space="preserve">I cover asset management in more detail in Chapter 8. </w:t>
      </w:r>
    </w:p>
    <w:p>
      <w:pPr>
        <w:pStyle w:val="Para 25"/>
      </w:pPr>
      <w:r>
        <w:t/>
      </w:r>
    </w:p>
    <w:p>
      <w:pPr>
        <w:pStyle w:val="Para 04"/>
      </w:pPr>
      <w:r>
        <w:t xml:space="preserve">• Locally stored data—When establishing your build procedures, it is a good idea to </w:t>
      </w:r>
    </w:p>
    <w:p>
      <w:pPr>
        <w:pStyle w:val="Para 01"/>
      </w:pPr>
      <w:r>
        <w:t xml:space="preserve">identify the system’s location on the system as well as in a database. Creating a custom </w:t>
      </w:r>
    </w:p>
    <w:p>
      <w:pPr>
        <w:pStyle w:val="Para 01"/>
      </w:pPr>
      <w:r>
        <w:t xml:space="preserve">registry key and storing various identifying information there can be helpful down the </w:t>
      </w:r>
    </w:p>
    <w:p>
      <w:pPr>
        <w:pStyle w:val="Para 01"/>
      </w:pPr>
      <w:r>
        <w:t xml:space="preserve">road in a scripted or automated process that relies on such information. You would normally use computer groups (or organizational units—OUs) to identify collections of </w:t>
      </w:r>
    </w:p>
    <w:p>
      <w:pPr>
        <w:pStyle w:val="Para 01"/>
      </w:pPr>
      <w:r>
        <w:t xml:space="preserve">machines, but what if all the machines installed by one of the people on your team have a </w:t>
      </w:r>
    </w:p>
    <w:p>
      <w:pPr>
        <w:pStyle w:val="Para 01"/>
      </w:pPr>
      <w:r>
        <w:t xml:space="preserve">problem? Having the ability to base the correction for such a problem on a value that </w:t>
      </w:r>
    </w:p>
    <w:p>
      <w:pPr>
        <w:pStyle w:val="Para 01"/>
      </w:pPr>
      <w:r>
        <w:t xml:space="preserve">identifies the person who set up the computer can be very helpful (see Figure 6.7).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83" name="index-165_2.png" descr="index-165_2.png"/>
            <wp:cNvGraphicFramePr>
              <a:graphicFrameLocks noChangeAspect="1"/>
            </wp:cNvGraphicFramePr>
            <a:graphic>
              <a:graphicData uri="http://schemas.openxmlformats.org/drawingml/2006/picture">
                <pic:pic>
                  <pic:nvPicPr>
                    <pic:cNvPr id="0" name="index-165_2.png" descr="index-165_2.png"/>
                    <pic:cNvPicPr/>
                  </pic:nvPicPr>
                  <pic:blipFill>
                    <a:blip r:embed="rId38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84" name="index-165_3.png" descr="index-165_3.png"/>
            <wp:cNvGraphicFramePr>
              <a:graphicFrameLocks noChangeAspect="1"/>
            </wp:cNvGraphicFramePr>
            <a:graphic>
              <a:graphicData uri="http://schemas.openxmlformats.org/drawingml/2006/picture">
                <pic:pic>
                  <pic:nvPicPr>
                    <pic:cNvPr id="0" name="index-165_3.png" descr="index-165_3.png"/>
                    <pic:cNvPicPr/>
                  </pic:nvPicPr>
                  <pic:blipFill>
                    <a:blip r:embed="rId388"/>
                    <a:stretch>
                      <a:fillRect/>
                    </a:stretch>
                  </pic:blipFill>
                  <pic:spPr>
                    <a:xfrm>
                      <a:off x="0" y="0"/>
                      <a:ext cx="914400" cy="444500"/>
                    </a:xfrm>
                    <a:prstGeom prst="rect">
                      <a:avLst/>
                    </a:prstGeom>
                  </pic:spPr>
                </pic:pic>
              </a:graphicData>
            </a:graphic>
          </wp:anchor>
        </w:drawing>
      </w:r>
    </w:p>
    <w:p>
      <w:pPr>
        <w:pStyle w:val="0 Block"/>
      </w:pPr>
    </w:p>
    <w:p>
      <w:bookmarkStart w:id="173" w:name="Chapter_6_13"/>
      <w:pPr>
        <w:pStyle w:val="Heading 1"/>
        <w:pageBreakBefore w:val="on"/>
      </w:pPr>
      <w:r>
        <w:t>Chapter 6</w:t>
      </w:r>
      <w:bookmarkEnd w:id="17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57600" cy="1638300"/>
            <wp:effectExtent l="0" r="0" t="0" b="0"/>
            <wp:wrapTopAndBottom/>
            <wp:docPr id="385" name="index-166_1.png" descr="index-166_1.png"/>
            <wp:cNvGraphicFramePr>
              <a:graphicFrameLocks noChangeAspect="1"/>
            </wp:cNvGraphicFramePr>
            <a:graphic>
              <a:graphicData uri="http://schemas.openxmlformats.org/drawingml/2006/picture">
                <pic:pic>
                  <pic:nvPicPr>
                    <pic:cNvPr id="0" name="index-166_1.png" descr="index-166_1.png"/>
                    <pic:cNvPicPr/>
                  </pic:nvPicPr>
                  <pic:blipFill>
                    <a:blip r:embed="rId389"/>
                    <a:stretch>
                      <a:fillRect/>
                    </a:stretch>
                  </pic:blipFill>
                  <pic:spPr>
                    <a:xfrm>
                      <a:off x="0" y="0"/>
                      <a:ext cx="3657600" cy="16383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6.7: Locally stored build information for use by automation scripts or inventory. </w:t>
      </w:r>
    </w:p>
    <w:p>
      <w:pPr>
        <w:pStyle w:val="Para 25"/>
      </w:pPr>
      <w:r>
        <w:t/>
      </w:r>
    </w:p>
    <w:p>
      <w:pPr>
        <w:pStyle w:val="Para 04"/>
      </w:pPr>
      <w:r>
        <w:t xml:space="preserve">• </w:t>
        <w:t xml:space="preserve">Net send—If you don’t have a good naming convention or tracking database, give good </w:t>
      </w:r>
    </w:p>
    <w:p>
      <w:pPr>
        <w:pStyle w:val="Para 01"/>
      </w:pPr>
      <w:r>
        <w:t xml:space="preserve">old NET SEND a try: </w:t>
      </w:r>
    </w:p>
    <w:p>
      <w:pPr>
        <w:pStyle w:val="Para 25"/>
      </w:pPr>
      <w:r>
        <w:t/>
      </w:r>
    </w:p>
    <w:p>
      <w:pPr>
        <w:pStyle w:val="Para 11"/>
      </w:pPr>
      <w:r>
        <w:t xml:space="preserve">NET SEND </w:t>
        <w:t xml:space="preserve"> Please Call The Helpdesk at x111. </w:t>
      </w:r>
    </w:p>
    <w:p>
      <w:pPr>
        <w:pStyle w:val="Para 25"/>
      </w:pPr>
      <w:r>
        <w:t/>
      </w:r>
    </w:p>
    <w:p>
      <w:pPr>
        <w:pStyle w:val="Para 01"/>
      </w:pPr>
      <w:r>
        <w:t xml:space="preserve">Then, sit back and hope for a phone call! </w:t>
      </w:r>
    </w:p>
    <w:p>
      <w:pPr>
        <w:pStyle w:val="Para 25"/>
      </w:pPr>
      <w:r>
        <w:t/>
      </w:r>
    </w:p>
    <w:p>
      <w:pPr>
        <w:pStyle w:val="Para 07"/>
      </w:pPr>
      <w:r>
        <w:t xml:space="preserve">Troubleshooting Tips </w:t>
      </w:r>
    </w:p>
    <w:p>
      <w:pPr>
        <w:pStyle w:val="Normal"/>
      </w:pPr>
      <w:r>
        <w:t xml:space="preserve">Like I said earlier, there’s not one answer to any IT problem, but there are a few things you can </w:t>
      </w:r>
    </w:p>
    <w:p>
      <w:pPr>
        <w:pStyle w:val="Normal"/>
      </w:pPr>
      <w:r>
        <w:t xml:space="preserve">keep in mind when troubleshooting a problem. Particularly when dealing with Windows </w:t>
      </w:r>
    </w:p>
    <w:p>
      <w:pPr>
        <w:pStyle w:val="Normal"/>
      </w:pPr>
      <w:r>
        <w:t xml:space="preserve">desktops, user profiles can often be a cause of grief. </w:t>
      </w:r>
    </w:p>
    <w:p>
      <w:pPr>
        <w:pStyle w:val="Para 25"/>
      </w:pPr>
      <w:r>
        <w:t/>
      </w:r>
    </w:p>
    <w:p>
      <w:pPr>
        <w:pStyle w:val="Para 02"/>
      </w:pPr>
      <w:r>
        <w:t xml:space="preserve">For more information about user profiles, flip back to Chapter 3. </w:t>
      </w:r>
    </w:p>
    <w:p>
      <w:pPr>
        <w:pStyle w:val="Para 25"/>
      </w:pPr>
      <w:r>
        <w:t/>
      </w:r>
    </w:p>
    <w:p>
      <w:pPr>
        <w:pStyle w:val="Para 09"/>
      </w:pPr>
      <w:r>
        <w:t xml:space="preserve">Profile Problems </w:t>
      </w:r>
    </w:p>
    <w:p>
      <w:pPr>
        <w:pStyle w:val="Para 25"/>
      </w:pPr>
      <w:r>
        <w:t/>
      </w:r>
    </w:p>
    <w:p>
      <w:pPr>
        <w:pStyle w:val="Normal"/>
      </w:pPr>
      <w:r>
        <w:t xml:space="preserve">Roaming or not, it is likely that the user has spent some time configuring his or her desktop and choosing system settings. Deleting this profile will cause the user to regenerate this environment, </w:t>
      </w:r>
    </w:p>
    <w:p>
      <w:pPr>
        <w:pStyle w:val="Normal"/>
      </w:pPr>
      <w:r>
        <w:t xml:space="preserve">and in some cases, doing so could cost hours of time that the user might have spent being more </w:t>
      </w:r>
    </w:p>
    <w:p>
      <w:pPr>
        <w:pStyle w:val="Normal"/>
      </w:pPr>
      <w:r>
        <w:t xml:space="preserve">productive. If the problem that the user is experiencing is also present for another person that </w:t>
      </w:r>
    </w:p>
    <w:p>
      <w:pPr>
        <w:pStyle w:val="Normal"/>
      </w:pPr>
      <w:r>
        <w:t xml:space="preserve">logs onto the machine, it is unlikely to be the user profile. If the person has a roaming profile and is able to perform the same action without error after logging into another system, it is also </w:t>
      </w:r>
    </w:p>
    <w:p>
      <w:pPr>
        <w:pStyle w:val="Normal"/>
      </w:pPr>
      <w:r>
        <w:t xml:space="preserve">unlikely to be a problem with the user profile. </w:t>
      </w:r>
    </w:p>
    <w:p>
      <w:pPr>
        <w:pStyle w:val="Para 25"/>
      </w:pPr>
      <w:r>
        <w:t/>
      </w:r>
    </w:p>
    <w:p>
      <w:pPr>
        <w:pStyle w:val="Normal"/>
      </w:pPr>
      <w:r>
        <w:t xml:space="preserve">If deleting the user profile should become a necessary troubleshooting step, try renaming the user’s NTUSER.DAT file. Doing so will cause the user’s files and application data to remain, </w:t>
      </w:r>
    </w:p>
    <w:p>
      <w:pPr>
        <w:pStyle w:val="Normal"/>
      </w:pPr>
      <w:r>
        <w:t xml:space="preserve">but the HKEY_CURRENT_USER settings will be regenerated from the default profile. If the </w:t>
      </w:r>
    </w:p>
    <w:p>
      <w:pPr>
        <w:pStyle w:val="Normal"/>
      </w:pPr>
      <w:r>
        <w:t xml:space="preserve">problem persists, try looking for and removing any related data from the user’s Application Data directory that corresponds to the application or vendor that is causing problems. Finally, you can </w:t>
      </w:r>
    </w:p>
    <w:p>
      <w:pPr>
        <w:pStyle w:val="Normal"/>
      </w:pPr>
      <w:r>
        <w:t xml:space="preserve">move or delete the user profile in an attempt to eliminate it as a problem altogether. Just be sure </w:t>
      </w:r>
    </w:p>
    <w:p>
      <w:pPr>
        <w:pStyle w:val="Normal"/>
      </w:pPr>
      <w:r>
        <w:t xml:space="preserve">that anything you do can be undone if the user profile turns out not to be the problem’s source.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86" name="index-166_2.png" descr="index-166_2.png"/>
            <wp:cNvGraphicFramePr>
              <a:graphicFrameLocks noChangeAspect="1"/>
            </wp:cNvGraphicFramePr>
            <a:graphic>
              <a:graphicData uri="http://schemas.openxmlformats.org/drawingml/2006/picture">
                <pic:pic>
                  <pic:nvPicPr>
                    <pic:cNvPr id="0" name="index-166_2.png" descr="index-166_2.png"/>
                    <pic:cNvPicPr/>
                  </pic:nvPicPr>
                  <pic:blipFill>
                    <a:blip r:embed="rId39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87" name="index-166_3.png" descr="index-166_3.png"/>
            <wp:cNvGraphicFramePr>
              <a:graphicFrameLocks noChangeAspect="1"/>
            </wp:cNvGraphicFramePr>
            <a:graphic>
              <a:graphicData uri="http://schemas.openxmlformats.org/drawingml/2006/picture">
                <pic:pic>
                  <pic:nvPicPr>
                    <pic:cNvPr id="0" name="index-166_3.png" descr="index-166_3.png"/>
                    <pic:cNvPicPr/>
                  </pic:nvPicPr>
                  <pic:blipFill>
                    <a:blip r:embed="rId391"/>
                    <a:stretch>
                      <a:fillRect/>
                    </a:stretch>
                  </pic:blipFill>
                  <pic:spPr>
                    <a:xfrm>
                      <a:off x="0" y="0"/>
                      <a:ext cx="914400" cy="444500"/>
                    </a:xfrm>
                    <a:prstGeom prst="rect">
                      <a:avLst/>
                    </a:prstGeom>
                  </pic:spPr>
                </pic:pic>
              </a:graphicData>
            </a:graphic>
          </wp:anchor>
        </w:drawing>
      </w:r>
    </w:p>
    <w:p>
      <w:pPr>
        <w:pStyle w:val="0 Block"/>
      </w:pPr>
    </w:p>
    <w:p>
      <w:bookmarkStart w:id="174" w:name="Chapter_6_14"/>
      <w:pPr>
        <w:pStyle w:val="Heading 1"/>
        <w:pageBreakBefore w:val="on"/>
      </w:pPr>
      <w:r>
        <w:t>Chapter 6</w:t>
      </w:r>
      <w:bookmarkEnd w:id="174"/>
    </w:p>
    <w:p>
      <w:pPr>
        <w:pStyle w:val="Para 25"/>
      </w:pPr>
      <w:r>
        <w:t/>
      </w:r>
    </w:p>
    <w:p>
      <w:pPr>
        <w:pStyle w:val="Para 09"/>
      </w:pPr>
      <w:r>
        <w:t xml:space="preserve">Works On One Computer, But Not On Another </w:t>
      </w:r>
    </w:p>
    <w:p>
      <w:pPr>
        <w:pStyle w:val="Para 25"/>
      </w:pPr>
      <w:r>
        <w:t/>
      </w:r>
    </w:p>
    <w:p>
      <w:pPr>
        <w:pStyle w:val="Normal"/>
      </w:pPr>
      <w:r>
        <w:t xml:space="preserve">The obvious question to ask when something works on one system and not another is, what is </w:t>
      </w:r>
    </w:p>
    <w:p>
      <w:pPr>
        <w:pStyle w:val="Normal"/>
      </w:pPr>
      <w:r>
        <w:t xml:space="preserve">different? Unfortunately, the answer is not so easy to expose. </w:t>
      </w:r>
    </w:p>
    <w:p>
      <w:pPr>
        <w:pStyle w:val="Para 25"/>
      </w:pPr>
      <w:r>
        <w:t/>
      </w:r>
    </w:p>
    <w:p>
      <w:pPr>
        <w:pStyle w:val="Normal"/>
      </w:pPr>
      <w:r>
        <w:t xml:space="preserve">“Just do a ‘Diff’.” If you have heard this response as often as I have, it probably makes the hair </w:t>
      </w:r>
    </w:p>
    <w:p>
      <w:pPr>
        <w:pStyle w:val="Normal"/>
      </w:pPr>
      <w:r>
        <w:t xml:space="preserve">on the back of your neck stand up. Aggravating as it is to explain, you cannot simply compare </w:t>
      </w:r>
    </w:p>
    <w:p>
      <w:pPr>
        <w:pStyle w:val="Normal"/>
      </w:pPr>
      <w:r>
        <w:t xml:space="preserve">two systems—there is too much to consider. Even if you were to dump the security settings, ACL settings, policy settings, file versions, registry settings, and data files to a comparable </w:t>
      </w:r>
    </w:p>
    <w:p>
      <w:pPr>
        <w:pStyle w:val="Normal"/>
      </w:pPr>
      <w:r>
        <w:t xml:space="preserve">format, there would be so many inherent differences between two systems that the results would </w:t>
      </w:r>
    </w:p>
    <w:p>
      <w:pPr>
        <w:pStyle w:val="Normal"/>
      </w:pPr>
      <w:r>
        <w:t xml:space="preserve">be very difficult to examine. Still, if you can narrow the problem to a reasonable scope, a </w:t>
      </w:r>
    </w:p>
    <w:p>
      <w:pPr>
        <w:pStyle w:val="Normal"/>
      </w:pPr>
      <w:r>
        <w:t xml:space="preserve">comparison between a subset of a functioning and non-functioning systems may be helpful (see Figure 6.8).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0" cy="1752600"/>
            <wp:effectExtent l="0" r="0" t="0" b="0"/>
            <wp:wrapTopAndBottom/>
            <wp:docPr id="388" name="index-167_1.png" descr="index-167_1.png"/>
            <wp:cNvGraphicFramePr>
              <a:graphicFrameLocks noChangeAspect="1"/>
            </wp:cNvGraphicFramePr>
            <a:graphic>
              <a:graphicData uri="http://schemas.openxmlformats.org/drawingml/2006/picture">
                <pic:pic>
                  <pic:nvPicPr>
                    <pic:cNvPr id="0" name="index-167_1.png" descr="index-167_1.png"/>
                    <pic:cNvPicPr/>
                  </pic:nvPicPr>
                  <pic:blipFill>
                    <a:blip r:embed="rId392"/>
                    <a:stretch>
                      <a:fillRect/>
                    </a:stretch>
                  </pic:blipFill>
                  <pic:spPr>
                    <a:xfrm>
                      <a:off x="0" y="0"/>
                      <a:ext cx="3810000" cy="17526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6.8: WinDiff file comparison tool view. </w:t>
      </w:r>
    </w:p>
    <w:p>
      <w:pPr>
        <w:pStyle w:val="Para 25"/>
      </w:pPr>
      <w:r>
        <w:t/>
      </w:r>
    </w:p>
    <w:p>
      <w:pPr>
        <w:pStyle w:val="Normal"/>
      </w:pPr>
      <w:r>
        <w:t xml:space="preserve">There are several tools available to perform file comparisons, and WinDiff is one such tool. It is </w:t>
      </w:r>
    </w:p>
    <w:p>
      <w:pPr>
        <w:pStyle w:val="Normal"/>
      </w:pPr>
      <w:r>
        <w:t xml:space="preserve">available from many places, including the Support Tools folder on the Win2K and Windows XP </w:t>
      </w:r>
    </w:p>
    <w:p>
      <w:pPr>
        <w:pStyle w:val="Normal"/>
      </w:pPr>
      <w:r>
        <w:t xml:space="preserve">CD-ROM as well as in the Windows 98 and NT resource kits, the Microsoft Windows OS Driver Development Kits, and with Visual C++. The tool shows all file contents by line number. Lines </w:t>
      </w:r>
    </w:p>
    <w:p>
      <w:pPr>
        <w:pStyle w:val="Normal"/>
      </w:pPr>
      <w:r>
        <w:t xml:space="preserve">that are different show the first file entry in red and the line from the second file in yellow. </w:t>
      </w:r>
    </w:p>
    <w:p>
      <w:pPr>
        <w:pStyle w:val="Para 25"/>
      </w:pPr>
      <w:r>
        <w:t/>
      </w:r>
    </w:p>
    <w:p>
      <w:pPr>
        <w:pStyle w:val="Para 02"/>
      </w:pPr>
      <w:r>
        <w:t xml:space="preserve">For step-by-step instructions for how to use WinDiff, see the Microsoft article “How to Use WinDiff to </w:t>
      </w:r>
    </w:p>
    <w:p>
      <w:pPr>
        <w:pStyle w:val="Para 02"/>
      </w:pPr>
      <w:r>
        <w:t xml:space="preserve">Compare Registry Files” at http://support.microsoft.com/default.aspx?scid=kb;en-us;Q171780. </w:t>
      </w:r>
    </w:p>
    <w:p>
      <w:pPr>
        <w:pStyle w:val="Para 25"/>
      </w:pPr>
      <w:r>
        <w:t/>
      </w:r>
    </w:p>
    <w:p>
      <w:pPr>
        <w:pStyle w:val="Normal"/>
      </w:pPr>
      <w:r>
        <w:t xml:space="preserve">Discovering what is installed on a machine is usually best performed by examining software </w:t>
      </w:r>
    </w:p>
    <w:p>
      <w:pPr>
        <w:pStyle w:val="Normal"/>
      </w:pPr>
      <w:r>
        <w:t xml:space="preserve">inventory data. However, if you do not have such reports available to you, examining the registry </w:t>
      </w:r>
    </w:p>
    <w:p>
      <w:pPr>
        <w:pStyle w:val="Normal"/>
      </w:pPr>
      <w:r>
        <w:t xml:space="preserve">can be the next best thing (when you know where to look). All software installed in Windows that offers the ability to be uninstalled is listed in the registry’s Uninstall key. This key is located </w:t>
      </w:r>
    </w:p>
    <w:p>
      <w:pPr>
        <w:pStyle w:val="Normal"/>
      </w:pPr>
      <w:r>
        <w:t xml:space="preserve">at HKEY_LOCAL_MACHINE\SOFTWARE\Microsoft\Windows\CurrentVersion\Uninstall </w:t>
      </w:r>
    </w:p>
    <w:p>
      <w:pPr>
        <w:pStyle w:val="Normal"/>
      </w:pPr>
      <w:r>
        <w:t xml:space="preserve">(see Figure 6.9). It accounts for most Windows software installed on a system (with very few </w:t>
      </w:r>
    </w:p>
    <w:p>
      <w:pPr>
        <w:pStyle w:val="Normal"/>
      </w:pPr>
      <w:r>
        <w:t xml:space="preserve">exceptions—those that exist are usually made up of simple command-line utilities or 16-bit applications).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89" name="index-167_2.png" descr="index-167_2.png"/>
            <wp:cNvGraphicFramePr>
              <a:graphicFrameLocks noChangeAspect="1"/>
            </wp:cNvGraphicFramePr>
            <a:graphic>
              <a:graphicData uri="http://schemas.openxmlformats.org/drawingml/2006/picture">
                <pic:pic>
                  <pic:nvPicPr>
                    <pic:cNvPr id="0" name="index-167_2.png" descr="index-167_2.png"/>
                    <pic:cNvPicPr/>
                  </pic:nvPicPr>
                  <pic:blipFill>
                    <a:blip r:embed="rId39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90" name="index-167_3.png" descr="index-167_3.png"/>
            <wp:cNvGraphicFramePr>
              <a:graphicFrameLocks noChangeAspect="1"/>
            </wp:cNvGraphicFramePr>
            <a:graphic>
              <a:graphicData uri="http://schemas.openxmlformats.org/drawingml/2006/picture">
                <pic:pic>
                  <pic:nvPicPr>
                    <pic:cNvPr id="0" name="index-167_3.png" descr="index-167_3.png"/>
                    <pic:cNvPicPr/>
                  </pic:nvPicPr>
                  <pic:blipFill>
                    <a:blip r:embed="rId394"/>
                    <a:stretch>
                      <a:fillRect/>
                    </a:stretch>
                  </pic:blipFill>
                  <pic:spPr>
                    <a:xfrm>
                      <a:off x="0" y="0"/>
                      <a:ext cx="914400" cy="444500"/>
                    </a:xfrm>
                    <a:prstGeom prst="rect">
                      <a:avLst/>
                    </a:prstGeom>
                  </pic:spPr>
                </pic:pic>
              </a:graphicData>
            </a:graphic>
          </wp:anchor>
        </w:drawing>
      </w:r>
    </w:p>
    <w:p>
      <w:pPr>
        <w:pStyle w:val="0 Block"/>
      </w:pPr>
    </w:p>
    <w:p>
      <w:bookmarkStart w:id="175" w:name="Chapter_6_15"/>
      <w:pPr>
        <w:pStyle w:val="Heading 1"/>
        <w:pageBreakBefore w:val="on"/>
      </w:pPr>
      <w:r>
        <w:t>Chapter 6</w:t>
      </w:r>
      <w:bookmarkEnd w:id="17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06800" cy="2146300"/>
            <wp:effectExtent l="0" r="0" t="0" b="0"/>
            <wp:wrapTopAndBottom/>
            <wp:docPr id="391" name="index-168_1.png" descr="index-168_1.png"/>
            <wp:cNvGraphicFramePr>
              <a:graphicFrameLocks noChangeAspect="1"/>
            </wp:cNvGraphicFramePr>
            <a:graphic>
              <a:graphicData uri="http://schemas.openxmlformats.org/drawingml/2006/picture">
                <pic:pic>
                  <pic:nvPicPr>
                    <pic:cNvPr id="0" name="index-168_1.png" descr="index-168_1.png"/>
                    <pic:cNvPicPr/>
                  </pic:nvPicPr>
                  <pic:blipFill>
                    <a:blip r:embed="rId395"/>
                    <a:stretch>
                      <a:fillRect/>
                    </a:stretch>
                  </pic:blipFill>
                  <pic:spPr>
                    <a:xfrm>
                      <a:off x="0" y="0"/>
                      <a:ext cx="3606800" cy="21463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6.9: The Uninstall key lists Windows software installed with uninstall support. </w:t>
      </w:r>
    </w:p>
    <w:p>
      <w:pPr>
        <w:pStyle w:val="Para 25"/>
      </w:pPr>
      <w:r>
        <w:t/>
      </w:r>
    </w:p>
    <w:p>
      <w:pPr>
        <w:pStyle w:val="Normal"/>
      </w:pPr>
      <w:r>
        <w:t xml:space="preserve">A GUID identifies newer software keys, whereas older software will store uninstall details in a </w:t>
      </w:r>
    </w:p>
    <w:p>
      <w:pPr>
        <w:pStyle w:val="Normal"/>
      </w:pPr>
      <w:r>
        <w:t xml:space="preserve">key with the application name as an identifier. Although the older way is better, the benefits of </w:t>
      </w:r>
    </w:p>
    <w:p>
      <w:pPr>
        <w:pStyle w:val="Normal"/>
      </w:pPr>
      <w:r>
        <w:t xml:space="preserve">the new way far outweigh this simple issue. Before Windows Installer (the new way), software </w:t>
      </w:r>
    </w:p>
    <w:p>
      <w:pPr>
        <w:pStyle w:val="Normal"/>
      </w:pPr>
      <w:r>
        <w:t xml:space="preserve">developers included whatever information they felt necessary, normally UninstallString and DisplayName; sometimes there would be more, sometimes less. The new way provides guidance </w:t>
      </w:r>
    </w:p>
    <w:p>
      <w:pPr>
        <w:pStyle w:val="Normal"/>
      </w:pPr>
      <w:r>
        <w:t xml:space="preserve">about the inclusion of a great deal more data. </w:t>
      </w:r>
    </w:p>
    <w:p>
      <w:pPr>
        <w:pStyle w:val="Para 25"/>
      </w:pPr>
      <w:r>
        <w:t/>
      </w:r>
    </w:p>
    <w:p>
      <w:pPr>
        <w:pStyle w:val="Para 02"/>
      </w:pPr>
      <w:r>
        <w:t xml:space="preserve">In the next chapter we will explore how to use this information and the KiXtart scripting language to </w:t>
      </w:r>
    </w:p>
    <w:p>
      <w:pPr>
        <w:pStyle w:val="Para 02"/>
      </w:pPr>
      <w:r>
        <w:t xml:space="preserve">generate an inventory. </w:t>
      </w:r>
    </w:p>
    <w:p>
      <w:pPr>
        <w:pStyle w:val="Para 25"/>
      </w:pPr>
      <w:r>
        <w:t/>
      </w:r>
    </w:p>
    <w:p>
      <w:pPr>
        <w:pStyle w:val="Para 09"/>
      </w:pPr>
      <w:r>
        <w:t xml:space="preserve">The Web Is Your Friend </w:t>
      </w:r>
    </w:p>
    <w:p>
      <w:pPr>
        <w:pStyle w:val="Para 25"/>
      </w:pPr>
      <w:r>
        <w:t/>
      </w:r>
    </w:p>
    <w:p>
      <w:pPr>
        <w:pStyle w:val="Normal"/>
      </w:pPr>
      <w:r>
        <w:t xml:space="preserve">It is hard to imagine having to crack open a manual or call a support line every time you had a </w:t>
      </w:r>
    </w:p>
    <w:p>
      <w:pPr>
        <w:pStyle w:val="Normal"/>
      </w:pPr>
      <w:r>
        <w:t xml:space="preserve">problem to investigate. The Internet provides an excellent administrative resource that cannot be understated. Chances are that when you encounter a problem, someone has encountered it </w:t>
      </w:r>
    </w:p>
    <w:p>
      <w:pPr>
        <w:pStyle w:val="Normal"/>
      </w:pPr>
      <w:r>
        <w:t xml:space="preserve">before—possibly quite a number of people. Depending upon that number, the solution may be </w:t>
      </w:r>
    </w:p>
    <w:p>
      <w:pPr>
        <w:pStyle w:val="Normal"/>
      </w:pPr>
      <w:r>
        <w:t xml:space="preserve">easy to find (or if not a solution, a tip to put you on the right track). </w:t>
      </w:r>
    </w:p>
    <w:p>
      <w:pPr>
        <w:pStyle w:val="Para 25"/>
      </w:pPr>
      <w:r>
        <w:t/>
      </w:r>
    </w:p>
    <w:p>
      <w:pPr>
        <w:pStyle w:val="Normal"/>
      </w:pPr>
      <w:r>
        <w:t xml:space="preserve">An increasing number of vendors now provide knowledge bases, answers to frequently asked questions (FAQs), technical manuals, and white papers on their Web sites. These resources are </w:t>
      </w:r>
    </w:p>
    <w:p>
      <w:pPr>
        <w:pStyle w:val="Normal"/>
      </w:pPr>
      <w:r>
        <w:t xml:space="preserve">of enormous value and should always be investigated when a problem arises. </w:t>
      </w:r>
    </w:p>
    <w:p>
      <w:pPr>
        <w:pStyle w:val="Para 25"/>
      </w:pPr>
      <w:r>
        <w:t/>
      </w:r>
    </w:p>
    <w:p>
      <w:pPr>
        <w:pStyle w:val="Normal"/>
      </w:pPr>
      <w:r>
        <w:t xml:space="preserve">Newsgroups and user forums (message boards) can be another great resource, but use them with caution. Some such discussion areas are moderated, meaning that there is someone taking </w:t>
      </w:r>
    </w:p>
    <w:p>
      <w:pPr>
        <w:pStyle w:val="Normal"/>
      </w:pPr>
      <w:r>
        <w:t xml:space="preserve">responsibility for content through a screening process of some kind. Most discussion areas are </w:t>
      </w:r>
    </w:p>
    <w:p>
      <w:pPr>
        <w:pStyle w:val="Normal"/>
      </w:pPr>
      <w:r>
        <w:t xml:space="preserve">not moderated, providing no such filter for quality. In fact, even when moderated, the answers given may not be “official” answers and should be pursued with scrutiny.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92" name="index-168_2.png" descr="index-168_2.png"/>
            <wp:cNvGraphicFramePr>
              <a:graphicFrameLocks noChangeAspect="1"/>
            </wp:cNvGraphicFramePr>
            <a:graphic>
              <a:graphicData uri="http://schemas.openxmlformats.org/drawingml/2006/picture">
                <pic:pic>
                  <pic:nvPicPr>
                    <pic:cNvPr id="0" name="index-168_2.png" descr="index-168_2.png"/>
                    <pic:cNvPicPr/>
                  </pic:nvPicPr>
                  <pic:blipFill>
                    <a:blip r:embed="rId39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93" name="index-168_3.png" descr="index-168_3.png"/>
            <wp:cNvGraphicFramePr>
              <a:graphicFrameLocks noChangeAspect="1"/>
            </wp:cNvGraphicFramePr>
            <a:graphic>
              <a:graphicData uri="http://schemas.openxmlformats.org/drawingml/2006/picture">
                <pic:pic>
                  <pic:nvPicPr>
                    <pic:cNvPr id="0" name="index-168_3.png" descr="index-168_3.png"/>
                    <pic:cNvPicPr/>
                  </pic:nvPicPr>
                  <pic:blipFill>
                    <a:blip r:embed="rId397"/>
                    <a:stretch>
                      <a:fillRect/>
                    </a:stretch>
                  </pic:blipFill>
                  <pic:spPr>
                    <a:xfrm>
                      <a:off x="0" y="0"/>
                      <a:ext cx="914400" cy="444500"/>
                    </a:xfrm>
                    <a:prstGeom prst="rect">
                      <a:avLst/>
                    </a:prstGeom>
                  </pic:spPr>
                </pic:pic>
              </a:graphicData>
            </a:graphic>
          </wp:anchor>
        </w:drawing>
      </w:r>
    </w:p>
    <w:p>
      <w:pPr>
        <w:pStyle w:val="0 Block"/>
      </w:pPr>
    </w:p>
    <w:p>
      <w:bookmarkStart w:id="176" w:name="Chapter_6_16"/>
      <w:pPr>
        <w:pStyle w:val="Heading 1"/>
        <w:pageBreakBefore w:val="on"/>
      </w:pPr>
      <w:r>
        <w:t>Chapter 6</w:t>
      </w:r>
      <w:bookmarkEnd w:id="176"/>
    </w:p>
    <w:p>
      <w:pPr>
        <w:pStyle w:val="Para 25"/>
      </w:pPr>
      <w:r>
        <w:t/>
      </w:r>
    </w:p>
    <w:p>
      <w:pPr>
        <w:pStyle w:val="Para 09"/>
      </w:pPr>
      <w:r>
        <w:t xml:space="preserve">Is it Worth the Time? </w:t>
      </w:r>
    </w:p>
    <w:p>
      <w:pPr>
        <w:pStyle w:val="Para 25"/>
      </w:pPr>
      <w:r>
        <w:t/>
      </w:r>
    </w:p>
    <w:p>
      <w:pPr>
        <w:pStyle w:val="Normal"/>
      </w:pPr>
      <w:r>
        <w:t xml:space="preserve">Before spending too much time on a problem, you should ask yourself “How long will it take to </w:t>
      </w:r>
    </w:p>
    <w:p>
      <w:pPr>
        <w:pStyle w:val="Normal"/>
      </w:pPr>
      <w:r>
        <w:t xml:space="preserve">rebuild this workstation?” and “What will be lost if I rebuild this workstation?” </w:t>
      </w:r>
    </w:p>
    <w:p>
      <w:pPr>
        <w:pStyle w:val="Para 25"/>
      </w:pPr>
      <w:r>
        <w:t/>
      </w:r>
    </w:p>
    <w:p>
      <w:pPr>
        <w:pStyle w:val="Normal"/>
      </w:pPr>
      <w:r>
        <w:t xml:space="preserve">If the answer to a problem is escaping you, consider rebuilding the machine. Assuming you have </w:t>
      </w:r>
    </w:p>
    <w:p>
      <w:pPr>
        <w:pStyle w:val="Normal"/>
      </w:pPr>
      <w:r>
        <w:t xml:space="preserve">a strong baseline and have done proper testing on your deployment packages and changes, any </w:t>
      </w:r>
    </w:p>
    <w:p>
      <w:pPr>
        <w:pStyle w:val="Normal"/>
      </w:pPr>
      <w:r>
        <w:t xml:space="preserve">problems should be the result of non-standard configurations or file corruption—both of which can usually be quickly corrected by rebuilding the workstation. If you have automated your </w:t>
      </w:r>
    </w:p>
    <w:p>
      <w:pPr>
        <w:pStyle w:val="Normal"/>
      </w:pPr>
      <w:r>
        <w:t xml:space="preserve">Windows deployment, take advantage of that work and use it to reset a computer to a known </w:t>
      </w:r>
    </w:p>
    <w:p>
      <w:pPr>
        <w:pStyle w:val="Normal"/>
      </w:pPr>
      <w:r>
        <w:t xml:space="preserve">good state before spending much time and effort identifying a problem that cannot be easily </w:t>
      </w:r>
    </w:p>
    <w:p>
      <w:pPr>
        <w:pStyle w:val="Normal"/>
      </w:pPr>
      <w:r>
        <w:t xml:space="preserve">replicated. </w:t>
      </w:r>
    </w:p>
    <w:p>
      <w:pPr>
        <w:pStyle w:val="Para 25"/>
      </w:pPr>
      <w:r>
        <w:t/>
      </w:r>
    </w:p>
    <w:p>
      <w:pPr>
        <w:pStyle w:val="Normal"/>
      </w:pPr>
      <w:r>
        <w:t xml:space="preserve">If a computer can be re-imaged in a few minutes, and you have spent the last 2 hours trying to </w:t>
      </w:r>
    </w:p>
    <w:p>
      <w:pPr>
        <w:pStyle w:val="Normal"/>
      </w:pPr>
      <w:r>
        <w:t xml:space="preserve">figure out some odd inconsistency, you might be itching to make use of that image and be done </w:t>
      </w:r>
    </w:p>
    <w:p>
      <w:pPr>
        <w:pStyle w:val="Normal"/>
      </w:pPr>
      <w:r>
        <w:t xml:space="preserve">with it. However, similar to deleting a user’s profile, wiping out an entire computer can be devastating to users in some environments. The key is whether users’ store data locally. Further, </w:t>
      </w:r>
    </w:p>
    <w:p>
      <w:pPr>
        <w:pStyle w:val="Normal"/>
      </w:pPr>
      <w:r>
        <w:t xml:space="preserve">if the user has significant changes that fall outside your automated process, the user must be </w:t>
      </w:r>
    </w:p>
    <w:p>
      <w:pPr>
        <w:pStyle w:val="Normal"/>
      </w:pPr>
      <w:r>
        <w:t xml:space="preserve">considered when weighing the speed of starting over again. </w:t>
      </w:r>
    </w:p>
    <w:p>
      <w:pPr>
        <w:pStyle w:val="Para 25"/>
      </w:pPr>
      <w:r>
        <w:t/>
      </w:r>
    </w:p>
    <w:p>
      <w:pPr>
        <w:pStyle w:val="Para 07"/>
      </w:pPr>
      <w:r>
        <w:t xml:space="preserve">Keeping Users Informed </w:t>
      </w:r>
    </w:p>
    <w:p>
      <w:pPr>
        <w:pStyle w:val="Normal"/>
      </w:pPr>
      <w:r>
        <w:t xml:space="preserve">Email is the primary means of communication with users for most organizations. However, you cannot send an email to let users know that email is unavailable. And if there is an emergency of </w:t>
      </w:r>
    </w:p>
    <w:p>
      <w:pPr>
        <w:pStyle w:val="Normal"/>
      </w:pPr>
      <w:r>
        <w:t xml:space="preserve">some kind, do you want to rely on users to check their email? It is important to have an </w:t>
      </w:r>
    </w:p>
    <w:p>
      <w:pPr>
        <w:pStyle w:val="Normal"/>
      </w:pPr>
      <w:r>
        <w:t xml:space="preserve">alternative means of communicating with everyone available to you </w:t>
      </w:r>
      <w:r>
        <w:rPr>
          <w:rStyle w:val="Text0"/>
        </w:rPr>
        <w:t>before</w:t>
      </w:r>
      <w:r>
        <w:t xml:space="preserve"> it is needed. </w:t>
      </w:r>
    </w:p>
    <w:p>
      <w:pPr>
        <w:pStyle w:val="Para 25"/>
      </w:pPr>
      <w:r>
        <w:t/>
      </w:r>
    </w:p>
    <w:p>
      <w:pPr>
        <w:pStyle w:val="Para 02"/>
      </w:pPr>
      <w:r>
        <w:t xml:space="preserve">Was there a power outage over the weekend? Was a massive deployment initiated last night? Will </w:t>
      </w:r>
    </w:p>
    <w:p>
      <w:pPr>
        <w:pStyle w:val="Para 02"/>
      </w:pPr>
      <w:r>
        <w:t xml:space="preserve">your application servers be offline this afternoon? If you have to hunt down answers to these </w:t>
      </w:r>
    </w:p>
    <w:p>
      <w:pPr>
        <w:pStyle w:val="Para 02"/>
      </w:pPr>
      <w:r>
        <w:t xml:space="preserve">questions, time has already been wasted. Users aren’t the only ones that you need to communicate </w:t>
      </w:r>
    </w:p>
    <w:p>
      <w:pPr>
        <w:pStyle w:val="Para 02"/>
      </w:pPr>
      <w:r>
        <w:t xml:space="preserve">with—it is vital that everyone on the support staff is aware of network-wide events and issues to avoid </w:t>
      </w:r>
    </w:p>
    <w:p>
      <w:pPr>
        <w:pStyle w:val="Para 02"/>
      </w:pPr>
      <w:r>
        <w:t xml:space="preserve">spending time troubleshooting the cause of a problem that may have an obvious. </w:t>
      </w:r>
    </w:p>
    <w:p>
      <w:pPr>
        <w:pStyle w:val="Para 25"/>
      </w:pPr>
      <w:r>
        <w:t/>
      </w:r>
    </w:p>
    <w:p>
      <w:pPr>
        <w:pStyle w:val="Normal"/>
      </w:pPr>
      <w:r>
        <w:t xml:space="preserve">Some phone systems provide a means of performing a one-way broadcast so that you can ring all </w:t>
      </w:r>
    </w:p>
    <w:p>
      <w:pPr>
        <w:pStyle w:val="Normal"/>
      </w:pPr>
      <w:r>
        <w:t xml:space="preserve">phones and make your announcement as people pick up. It is important that this communication method is exercised; otherwise, users might pick up, hear a recording, and hang up. </w:t>
      </w:r>
    </w:p>
    <w:p>
      <w:pPr>
        <w:pStyle w:val="Para 25"/>
      </w:pPr>
      <w:r>
        <w:t/>
      </w:r>
    </w:p>
    <w:p>
      <w:pPr>
        <w:pStyle w:val="Normal"/>
      </w:pPr>
      <w:r>
        <w:t xml:space="preserve">As most users are sitting at their desks, a dialog box or visual warning is often implemented. </w:t>
      </w:r>
    </w:p>
    <w:p>
      <w:pPr>
        <w:pStyle w:val="Normal"/>
      </w:pPr>
      <w:r>
        <w:t xml:space="preserve">Particularly when announcing impending server outages, this option is common. </w:t>
      </w:r>
    </w:p>
    <w:p>
      <w:pPr>
        <w:pStyle w:val="Para 25"/>
      </w:pPr>
      <w:r>
        <w:t/>
      </w:r>
    </w:p>
    <w:p>
      <w:pPr>
        <w:pStyle w:val="Normal"/>
      </w:pPr>
      <w:r>
        <w:t xml:space="preserve">Remember the first class you took on Windows, in which everyone discovered the NET SEND </w:t>
      </w:r>
    </w:p>
    <w:p>
      <w:pPr>
        <w:pStyle w:val="Normal"/>
      </w:pPr>
      <w:r>
        <w:t xml:space="preserve">command? It lost its charm quickly then, but if you need to get a message out to a large number </w:t>
      </w:r>
    </w:p>
    <w:p>
      <w:pPr>
        <w:pStyle w:val="Normal"/>
      </w:pPr>
      <w:r>
        <w:t xml:space="preserve">of people at one time, this method is effective. </w:t>
      </w:r>
    </w:p>
    <w:p>
      <w:pPr>
        <w:pStyle w:val="Para 25"/>
      </w:pPr>
      <w:r>
        <w:t/>
      </w:r>
    </w:p>
    <w:p>
      <w:pPr>
        <w:pStyle w:val="Para 02"/>
      </w:pPr>
      <w:r>
        <w:t xml:space="preserve">The messenger service accepts and displays only six messages. If more than six messages are </w:t>
      </w:r>
    </w:p>
    <w:p>
      <w:pPr>
        <w:pStyle w:val="Para 02"/>
      </w:pPr>
      <w:r>
        <w:t xml:space="preserve">received and not acknowledged, all subsequent messages will not be displayed.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94" name="index-169_1.png" descr="index-169_1.png"/>
            <wp:cNvGraphicFramePr>
              <a:graphicFrameLocks noChangeAspect="1"/>
            </wp:cNvGraphicFramePr>
            <a:graphic>
              <a:graphicData uri="http://schemas.openxmlformats.org/drawingml/2006/picture">
                <pic:pic>
                  <pic:nvPicPr>
                    <pic:cNvPr id="0" name="index-169_1.png" descr="index-169_1.png"/>
                    <pic:cNvPicPr/>
                  </pic:nvPicPr>
                  <pic:blipFill>
                    <a:blip r:embed="rId39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95" name="index-169_2.png" descr="index-169_2.png"/>
            <wp:cNvGraphicFramePr>
              <a:graphicFrameLocks noChangeAspect="1"/>
            </wp:cNvGraphicFramePr>
            <a:graphic>
              <a:graphicData uri="http://schemas.openxmlformats.org/drawingml/2006/picture">
                <pic:pic>
                  <pic:nvPicPr>
                    <pic:cNvPr id="0" name="index-169_2.png" descr="index-169_2.png"/>
                    <pic:cNvPicPr/>
                  </pic:nvPicPr>
                  <pic:blipFill>
                    <a:blip r:embed="rId399"/>
                    <a:stretch>
                      <a:fillRect/>
                    </a:stretch>
                  </pic:blipFill>
                  <pic:spPr>
                    <a:xfrm>
                      <a:off x="0" y="0"/>
                      <a:ext cx="914400" cy="444500"/>
                    </a:xfrm>
                    <a:prstGeom prst="rect">
                      <a:avLst/>
                    </a:prstGeom>
                  </pic:spPr>
                </pic:pic>
              </a:graphicData>
            </a:graphic>
          </wp:anchor>
        </w:drawing>
      </w:r>
    </w:p>
    <w:p>
      <w:pPr>
        <w:pStyle w:val="0 Block"/>
      </w:pPr>
    </w:p>
    <w:p>
      <w:bookmarkStart w:id="177" w:name="Chapter_6_17"/>
      <w:pPr>
        <w:pStyle w:val="Heading 1"/>
        <w:pageBreakBefore w:val="on"/>
      </w:pPr>
      <w:r>
        <w:t>Chapter 6</w:t>
      </w:r>
      <w:bookmarkEnd w:id="177"/>
    </w:p>
    <w:p>
      <w:pPr>
        <w:pStyle w:val="Para 25"/>
      </w:pPr>
      <w:r>
        <w:t/>
      </w:r>
    </w:p>
    <w:p>
      <w:pPr>
        <w:pStyle w:val="Normal"/>
      </w:pPr>
      <w:r>
        <w:t xml:space="preserve">To send to all computers within your subnet, specify an asterisk as the target system. To send a </w:t>
      </w:r>
    </w:p>
    <w:p>
      <w:pPr>
        <w:pStyle w:val="Normal"/>
      </w:pPr>
      <w:r>
        <w:t xml:space="preserve">message to all computers within a domain, specify the domain name as the target using the </w:t>
      </w:r>
    </w:p>
    <w:p>
      <w:pPr>
        <w:pStyle w:val="Normal"/>
      </w:pPr>
      <w:r>
        <w:t xml:space="preserve">/DOMAIN: </w:t>
        <w:t xml:space="preserve"> parameter, as the following example shows: </w:t>
      </w:r>
    </w:p>
    <w:p>
      <w:pPr>
        <w:pStyle w:val="Para 25"/>
      </w:pPr>
      <w:r>
        <w:t/>
      </w:r>
    </w:p>
    <w:p>
      <w:pPr>
        <w:pStyle w:val="Para 11"/>
      </w:pPr>
      <w:r>
        <w:t xml:space="preserve">NET SEND * Mail Server Outage In 5 Minutes </w:t>
      </w:r>
    </w:p>
    <w:p>
      <w:pPr>
        <w:pStyle w:val="Normal"/>
      </w:pPr>
      <w:r>
        <w:t xml:space="preserve">The message is received by the client workstation’s Messenger Service, which presents the </w:t>
      </w:r>
    </w:p>
    <w:p>
      <w:pPr>
        <w:pStyle w:val="Normal"/>
      </w:pPr>
      <w:r>
        <w:t xml:space="preserve">specified message along with the source system, target system, date, and time (see Figure 6.10).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06600" cy="812800"/>
            <wp:effectExtent l="0" r="0" t="0" b="0"/>
            <wp:wrapTopAndBottom/>
            <wp:docPr id="396" name="index-170_1.png" descr="index-170_1.png"/>
            <wp:cNvGraphicFramePr>
              <a:graphicFrameLocks noChangeAspect="1"/>
            </wp:cNvGraphicFramePr>
            <a:graphic>
              <a:graphicData uri="http://schemas.openxmlformats.org/drawingml/2006/picture">
                <pic:pic>
                  <pic:nvPicPr>
                    <pic:cNvPr id="0" name="index-170_1.png" descr="index-170_1.png"/>
                    <pic:cNvPicPr/>
                  </pic:nvPicPr>
                  <pic:blipFill>
                    <a:blip r:embed="rId400"/>
                    <a:stretch>
                      <a:fillRect/>
                    </a:stretch>
                  </pic:blipFill>
                  <pic:spPr>
                    <a:xfrm>
                      <a:off x="0" y="0"/>
                      <a:ext cx="2006600" cy="812800"/>
                    </a:xfrm>
                    <a:prstGeom prst="rect">
                      <a:avLst/>
                    </a:prstGeom>
                  </pic:spPr>
                </pic:pic>
              </a:graphicData>
            </a:graphic>
          </wp:anchor>
        </w:drawing>
      </w:r>
    </w:p>
    <w:p>
      <w:pPr>
        <w:pStyle w:val="Para 25"/>
      </w:pPr>
      <w:r>
        <w:t/>
      </w:r>
    </w:p>
    <w:p>
      <w:pPr>
        <w:pStyle w:val="Para 26"/>
      </w:pPr>
      <w:r>
        <w:t xml:space="preserve"> </w:t>
      </w:r>
    </w:p>
    <w:p>
      <w:pPr>
        <w:pStyle w:val="Para 25"/>
      </w:pPr>
      <w:r>
        <w:t/>
      </w:r>
    </w:p>
    <w:p>
      <w:pPr>
        <w:pStyle w:val="Para 10"/>
      </w:pPr>
      <w:r>
        <w:t xml:space="preserve">Figure 6.10: Sample message displayed by the NET SEND command. </w:t>
      </w:r>
    </w:p>
    <w:p>
      <w:pPr>
        <w:pStyle w:val="Para 25"/>
      </w:pPr>
      <w:r>
        <w:t/>
      </w:r>
    </w:p>
    <w:p>
      <w:pPr>
        <w:pStyle w:val="Para 02"/>
      </w:pPr>
      <w:r>
        <w:t xml:space="preserve">Unless your routers are configured to forward broadcasts (not normally the case) only computers on </w:t>
      </w:r>
    </w:p>
    <w:p>
      <w:pPr>
        <w:pStyle w:val="Para 02"/>
      </w:pPr>
      <w:r>
        <w:t xml:space="preserve">the local subnet will receive messages using the NET SEND * and NET SEND /DOMAIN options. </w:t>
      </w:r>
    </w:p>
    <w:p>
      <w:pPr>
        <w:pStyle w:val="Para 02"/>
      </w:pPr>
      <w:r>
        <w:t xml:space="preserve">You can send messages to specific computer across subnets, but not broadcasts such as this. It is </w:t>
      </w:r>
    </w:p>
    <w:p>
      <w:pPr>
        <w:pStyle w:val="Para 02"/>
      </w:pPr>
      <w:r>
        <w:t xml:space="preserve">therefore possible to send messages to a list of computers using a script; we will explore this option in </w:t>
      </w:r>
    </w:p>
    <w:p>
      <w:pPr>
        <w:pStyle w:val="Para 02"/>
      </w:pPr>
      <w:r>
        <w:t xml:space="preserve">the next chapter. </w:t>
      </w:r>
    </w:p>
    <w:p>
      <w:pPr>
        <w:pStyle w:val="Para 25"/>
      </w:pPr>
      <w:r>
        <w:t/>
      </w:r>
    </w:p>
    <w:p>
      <w:pPr>
        <w:pStyle w:val="Normal"/>
      </w:pPr>
      <w:r>
        <w:t xml:space="preserve">Shutting down a server? You can send a message to all connected users by using NT Server </w:t>
      </w:r>
    </w:p>
    <w:p>
      <w:pPr>
        <w:pStyle w:val="Normal"/>
      </w:pPr>
      <w:r>
        <w:t xml:space="preserve">Manager’s Send Message option. For Win2K servers, you can right-click the Shared Folders item in the Computer Management MMC snap-in, and select Send Console Message under All </w:t>
      </w:r>
    </w:p>
    <w:p>
      <w:pPr>
        <w:pStyle w:val="Normal"/>
      </w:pPr>
      <w:r>
        <w:t xml:space="preserve">Tasks. </w:t>
      </w:r>
    </w:p>
    <w:p>
      <w:pPr>
        <w:pStyle w:val="Para 25"/>
      </w:pPr>
      <w:r>
        <w:t/>
      </w:r>
    </w:p>
    <w:p>
      <w:pPr>
        <w:pStyle w:val="Para 02"/>
      </w:pPr>
      <w:r>
        <w:t xml:space="preserve">Windows 95 and Windows 98 systems do not support the NET SEND command because it relies on </w:t>
      </w:r>
    </w:p>
    <w:p>
      <w:pPr>
        <w:pStyle w:val="Para 02"/>
      </w:pPr>
      <w:r>
        <w:t xml:space="preserve">server-side named pipes (functionality not present in Windows 9x). To receive such messages, the </w:t>
      </w:r>
    </w:p>
    <w:p>
      <w:pPr>
        <w:pStyle w:val="Para 02"/>
      </w:pPr>
      <w:r>
        <w:t xml:space="preserve">target system must be running the WinPopup utility. Because Windows 9x cannot run services, the </w:t>
      </w:r>
    </w:p>
    <w:p>
      <w:pPr>
        <w:pStyle w:val="Para 02"/>
      </w:pPr>
      <w:r>
        <w:t xml:space="preserve">utility must be added to the registry’s RUN key or the Startup program group. </w:t>
      </w:r>
    </w:p>
    <w:p>
      <w:pPr>
        <w:pStyle w:val="Para 25"/>
      </w:pPr>
      <w:r>
        <w:t/>
      </w:r>
    </w:p>
    <w:p>
      <w:pPr>
        <w:pStyle w:val="Para 12"/>
      </w:pPr>
      <w:r>
        <w:t xml:space="preserve">Monitoring the End-User Experience </w:t>
      </w:r>
    </w:p>
    <w:p>
      <w:pPr>
        <w:pStyle w:val="Para 25"/>
      </w:pPr>
      <w:r>
        <w:t/>
      </w:r>
    </w:p>
    <w:p>
      <w:pPr>
        <w:pStyle w:val="Normal"/>
      </w:pPr>
      <w:r>
        <w:t xml:space="preserve">You might think that the desktops in your environment are operating at a very high reliability </w:t>
      </w:r>
    </w:p>
    <w:p>
      <w:pPr>
        <w:pStyle w:val="Normal"/>
      </w:pPr>
      <w:r>
        <w:t xml:space="preserve">rate, but people using these systems might think otherwise. If your users are happy with their </w:t>
      </w:r>
    </w:p>
    <w:p>
      <w:pPr>
        <w:pStyle w:val="Normal"/>
      </w:pPr>
      <w:r>
        <w:t xml:space="preserve">desktop experience, you may not know until you ask. After all, things can seem pretty negative when you only hear complaints and problem calls. Know for sure by generating workload and </w:t>
      </w:r>
    </w:p>
    <w:p>
      <w:pPr>
        <w:pStyle w:val="Normal"/>
      </w:pPr>
      <w:r>
        <w:t xml:space="preserve">success metrics and surveying your users.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97" name="index-170_2.png" descr="index-170_2.png"/>
            <wp:cNvGraphicFramePr>
              <a:graphicFrameLocks noChangeAspect="1"/>
            </wp:cNvGraphicFramePr>
            <a:graphic>
              <a:graphicData uri="http://schemas.openxmlformats.org/drawingml/2006/picture">
                <pic:pic>
                  <pic:nvPicPr>
                    <pic:cNvPr id="0" name="index-170_2.png" descr="index-170_2.png"/>
                    <pic:cNvPicPr/>
                  </pic:nvPicPr>
                  <pic:blipFill>
                    <a:blip r:embed="rId40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398" name="index-170_3.png" descr="index-170_3.png"/>
            <wp:cNvGraphicFramePr>
              <a:graphicFrameLocks noChangeAspect="1"/>
            </wp:cNvGraphicFramePr>
            <a:graphic>
              <a:graphicData uri="http://schemas.openxmlformats.org/drawingml/2006/picture">
                <pic:pic>
                  <pic:nvPicPr>
                    <pic:cNvPr id="0" name="index-170_3.png" descr="index-170_3.png"/>
                    <pic:cNvPicPr/>
                  </pic:nvPicPr>
                  <pic:blipFill>
                    <a:blip r:embed="rId402"/>
                    <a:stretch>
                      <a:fillRect/>
                    </a:stretch>
                  </pic:blipFill>
                  <pic:spPr>
                    <a:xfrm>
                      <a:off x="0" y="0"/>
                      <a:ext cx="914400" cy="444500"/>
                    </a:xfrm>
                    <a:prstGeom prst="rect">
                      <a:avLst/>
                    </a:prstGeom>
                  </pic:spPr>
                </pic:pic>
              </a:graphicData>
            </a:graphic>
          </wp:anchor>
        </w:drawing>
      </w:r>
    </w:p>
    <w:p>
      <w:pPr>
        <w:pStyle w:val="0 Block"/>
      </w:pPr>
    </w:p>
    <w:p>
      <w:bookmarkStart w:id="178" w:name="Chapter_6_18"/>
      <w:pPr>
        <w:pStyle w:val="Heading 1"/>
        <w:pageBreakBefore w:val="on"/>
      </w:pPr>
      <w:r>
        <w:t>Chapter 6</w:t>
      </w:r>
      <w:bookmarkEnd w:id="178"/>
    </w:p>
    <w:p>
      <w:pPr>
        <w:pStyle w:val="Para 25"/>
      </w:pPr>
      <w:r>
        <w:t/>
      </w:r>
    </w:p>
    <w:p>
      <w:pPr>
        <w:pStyle w:val="Para 07"/>
      </w:pPr>
      <w:r>
        <w:t xml:space="preserve">Survey Users </w:t>
      </w:r>
    </w:p>
    <w:p>
      <w:pPr>
        <w:pStyle w:val="Normal"/>
      </w:pPr>
      <w:r>
        <w:t xml:space="preserve">How do you know what the users are experiencing if you do not ask them? Measuring success </w:t>
      </w:r>
    </w:p>
    <w:p>
      <w:pPr>
        <w:pStyle w:val="Normal"/>
      </w:pPr>
      <w:r>
        <w:t xml:space="preserve">solely on the number of complaints you receive is a poor method resulting in an inaccurate view </w:t>
      </w:r>
    </w:p>
    <w:p>
      <w:pPr>
        <w:pStyle w:val="Normal"/>
      </w:pPr>
      <w:r>
        <w:t xml:space="preserve">of the way your desktops are actually perceived. With the exception of those users that are a </w:t>
      </w:r>
    </w:p>
    <w:p>
      <w:pPr>
        <w:pStyle w:val="Normal"/>
      </w:pPr>
      <w:r>
        <w:t xml:space="preserve">regular voice in your head (letting you know about everything they experience), most users will live with a problem unless it is affecting their ability to perform their jobs. It is not unusual for </w:t>
      </w:r>
    </w:p>
    <w:p>
      <w:pPr>
        <w:pStyle w:val="Normal"/>
      </w:pPr>
      <w:r>
        <w:t xml:space="preserve">users to answer an error message every time they logon for months, until you happen to see it </w:t>
      </w:r>
    </w:p>
    <w:p>
      <w:pPr>
        <w:pStyle w:val="Normal"/>
      </w:pPr>
      <w:r>
        <w:t xml:space="preserve">and ask them about it. </w:t>
      </w:r>
    </w:p>
    <w:p>
      <w:pPr>
        <w:pStyle w:val="Para 25"/>
      </w:pPr>
      <w:r>
        <w:t/>
      </w:r>
    </w:p>
    <w:p>
      <w:pPr>
        <w:pStyle w:val="Para 09"/>
      </w:pPr>
      <w:r>
        <w:t xml:space="preserve">Email </w:t>
      </w:r>
    </w:p>
    <w:p>
      <w:pPr>
        <w:pStyle w:val="Para 25"/>
      </w:pPr>
      <w:r>
        <w:t/>
      </w:r>
    </w:p>
    <w:p>
      <w:pPr>
        <w:pStyle w:val="Normal"/>
      </w:pPr>
      <w:r>
        <w:t xml:space="preserve">Email is widely the most heavily used communication medium in business today. It seems only </w:t>
      </w:r>
    </w:p>
    <w:p>
      <w:pPr>
        <w:pStyle w:val="Normal"/>
      </w:pPr>
      <w:r>
        <w:t xml:space="preserve">natural to make use of it in an attempt to learn more from your users as well. Although a bulleted list of questions provides some feedback, more robust means of utilizing email for this purpose </w:t>
      </w:r>
    </w:p>
    <w:p>
      <w:pPr>
        <w:pStyle w:val="Normal"/>
      </w:pPr>
      <w:r>
        <w:t xml:space="preserve">are readily available. </w:t>
      </w:r>
    </w:p>
    <w:p>
      <w:pPr>
        <w:pStyle w:val="Para 25"/>
      </w:pPr>
      <w:r>
        <w:t/>
      </w:r>
    </w:p>
    <w:p>
      <w:pPr>
        <w:pStyle w:val="Para 04"/>
      </w:pPr>
      <w:r>
        <w:t xml:space="preserve">• </w:t>
        <w:t xml:space="preserve">Outlook forms—Microsoft Outlook is easily the most commonly used email software on </w:t>
      </w:r>
    </w:p>
    <w:p>
      <w:pPr>
        <w:pStyle w:val="Para 01"/>
      </w:pPr>
      <w:r>
        <w:t xml:space="preserve">Windows networks, and it provides an Outlook Form Designer that you can use to </w:t>
      </w:r>
    </w:p>
    <w:p>
      <w:pPr>
        <w:pStyle w:val="Para 01"/>
      </w:pPr>
      <w:r>
        <w:t xml:space="preserve">provide a customized survey. All forms you create must be based on an existing Outlook form. First, select </w:t>
      </w:r>
      <w:r>
        <w:rPr>
          <w:rStyle w:val="Text0"/>
        </w:rPr>
        <w:t>Design a form</w:t>
      </w:r>
      <w:r>
        <w:t xml:space="preserve"> from the Forms submenu under Tools in the Outlook </w:t>
      </w:r>
    </w:p>
    <w:p>
      <w:pPr>
        <w:pStyle w:val="Para 01"/>
      </w:pPr>
      <w:r>
        <w:t xml:space="preserve">menu bar. When you select a form ,such as the Message form used to send email, you </w:t>
      </w:r>
    </w:p>
    <w:p>
      <w:pPr>
        <w:pStyle w:val="Para 01"/>
      </w:pPr>
      <w:r>
        <w:t xml:space="preserve">will be able to perform tasks such as add fields, insert images, and add controls. You can also specify field validation parameters to help ensure that questions are answered as you </w:t>
      </w:r>
    </w:p>
    <w:p>
      <w:pPr>
        <w:pStyle w:val="Para 01"/>
      </w:pPr>
      <w:r>
        <w:t xml:space="preserve">want them to be. It is a fairly simple interface (similar to that used for creating Microsoft </w:t>
      </w:r>
    </w:p>
    <w:p>
      <w:pPr>
        <w:pStyle w:val="Para 01"/>
      </w:pPr>
      <w:r>
        <w:t xml:space="preserve">Access database forms) and should serve to stimulate your ideas for how to gather information from your users. If you start to get carried away, you can use multiple pages </w:t>
      </w:r>
    </w:p>
    <w:p>
      <w:pPr>
        <w:pStyle w:val="Para 01"/>
      </w:pPr>
      <w:r>
        <w:t xml:space="preserve">in a single form. Figure 6.11 shows an example survey.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399" name="index-171_1.png" descr="index-171_1.png"/>
            <wp:cNvGraphicFramePr>
              <a:graphicFrameLocks noChangeAspect="1"/>
            </wp:cNvGraphicFramePr>
            <a:graphic>
              <a:graphicData uri="http://schemas.openxmlformats.org/drawingml/2006/picture">
                <pic:pic>
                  <pic:nvPicPr>
                    <pic:cNvPr id="0" name="index-171_1.png" descr="index-171_1.png"/>
                    <pic:cNvPicPr/>
                  </pic:nvPicPr>
                  <pic:blipFill>
                    <a:blip r:embed="rId40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00" name="index-171_2.png" descr="index-171_2.png"/>
            <wp:cNvGraphicFramePr>
              <a:graphicFrameLocks noChangeAspect="1"/>
            </wp:cNvGraphicFramePr>
            <a:graphic>
              <a:graphicData uri="http://schemas.openxmlformats.org/drawingml/2006/picture">
                <pic:pic>
                  <pic:nvPicPr>
                    <pic:cNvPr id="0" name="index-171_2.png" descr="index-171_2.png"/>
                    <pic:cNvPicPr/>
                  </pic:nvPicPr>
                  <pic:blipFill>
                    <a:blip r:embed="rId404"/>
                    <a:stretch>
                      <a:fillRect/>
                    </a:stretch>
                  </pic:blipFill>
                  <pic:spPr>
                    <a:xfrm>
                      <a:off x="0" y="0"/>
                      <a:ext cx="914400" cy="444500"/>
                    </a:xfrm>
                    <a:prstGeom prst="rect">
                      <a:avLst/>
                    </a:prstGeom>
                  </pic:spPr>
                </pic:pic>
              </a:graphicData>
            </a:graphic>
          </wp:anchor>
        </w:drawing>
      </w:r>
    </w:p>
    <w:p>
      <w:pPr>
        <w:pStyle w:val="0 Block"/>
      </w:pPr>
    </w:p>
    <w:p>
      <w:bookmarkStart w:id="179" w:name="Chapter_6_19"/>
      <w:pPr>
        <w:pStyle w:val="Heading 1"/>
        <w:pageBreakBefore w:val="on"/>
      </w:pPr>
      <w:r>
        <w:t>Chapter 6</w:t>
      </w:r>
      <w:bookmarkEnd w:id="17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13000" cy="3644900"/>
            <wp:effectExtent l="0" r="0" t="0" b="0"/>
            <wp:wrapTopAndBottom/>
            <wp:docPr id="401" name="index-172_1.png" descr="index-172_1.png"/>
            <wp:cNvGraphicFramePr>
              <a:graphicFrameLocks noChangeAspect="1"/>
            </wp:cNvGraphicFramePr>
            <a:graphic>
              <a:graphicData uri="http://schemas.openxmlformats.org/drawingml/2006/picture">
                <pic:pic>
                  <pic:nvPicPr>
                    <pic:cNvPr id="0" name="index-172_1.png" descr="index-172_1.png"/>
                    <pic:cNvPicPr/>
                  </pic:nvPicPr>
                  <pic:blipFill>
                    <a:blip r:embed="rId405"/>
                    <a:stretch>
                      <a:fillRect/>
                    </a:stretch>
                  </pic:blipFill>
                  <pic:spPr>
                    <a:xfrm>
                      <a:off x="0" y="0"/>
                      <a:ext cx="2413000" cy="3644900"/>
                    </a:xfrm>
                    <a:prstGeom prst="rect">
                      <a:avLst/>
                    </a:prstGeom>
                  </pic:spPr>
                </pic:pic>
              </a:graphicData>
            </a:graphic>
          </wp:anchor>
        </w:drawing>
      </w:r>
    </w:p>
    <w:p>
      <w:pPr>
        <w:pStyle w:val="Para 25"/>
      </w:pPr>
      <w:r>
        <w:t/>
      </w:r>
    </w:p>
    <w:p>
      <w:pPr>
        <w:pStyle w:val="Para 24"/>
      </w:pPr>
      <w:r>
        <w:t xml:space="preserve"> </w:t>
      </w:r>
    </w:p>
    <w:p>
      <w:pPr>
        <w:pStyle w:val="Para 25"/>
      </w:pPr>
      <w:r>
        <w:t/>
      </w:r>
    </w:p>
    <w:p>
      <w:pPr>
        <w:pStyle w:val="Para 10"/>
      </w:pPr>
      <w:r>
        <w:t xml:space="preserve">Figure 6.11: Example of a survey form created with MS Outlook. </w:t>
      </w:r>
    </w:p>
    <w:p>
      <w:pPr>
        <w:pStyle w:val="Para 25"/>
      </w:pPr>
      <w:r>
        <w:t/>
      </w:r>
    </w:p>
    <w:p>
      <w:pPr>
        <w:pStyle w:val="Para 02"/>
      </w:pPr>
      <w:r>
        <w:t xml:space="preserve">When working on a form, disable Microsoft Word as your email editor; otherwise, the forms design </w:t>
      </w:r>
    </w:p>
    <w:p>
      <w:pPr>
        <w:pStyle w:val="Para 02"/>
      </w:pPr>
      <w:r>
        <w:t xml:space="preserve">environment won't be available to you. </w:t>
      </w:r>
    </w:p>
    <w:p>
      <w:pPr>
        <w:pStyle w:val="Para 25"/>
      </w:pPr>
      <w:r>
        <w:t/>
      </w:r>
    </w:p>
    <w:p>
      <w:pPr>
        <w:pStyle w:val="Para 04"/>
      </w:pPr>
      <w:r>
        <w:t xml:space="preserve">• IBM Lotus Notes databases—The IBM Lotus Notes email system provides an </w:t>
      </w:r>
    </w:p>
    <w:p>
      <w:pPr>
        <w:pStyle w:val="Para 01"/>
      </w:pPr>
      <w:r>
        <w:t xml:space="preserve">environment that lends itself to implementing a survey. Lotus Notes provides an interface that is made up of a series of database forms, making it a particularly suitable </w:t>
      </w:r>
    </w:p>
    <w:p>
      <w:pPr>
        <w:pStyle w:val="Para 01"/>
      </w:pPr>
      <w:r>
        <w:t xml:space="preserve">environment for such a requirement. Although it might take a bit more knowledge on the </w:t>
      </w:r>
    </w:p>
    <w:p>
      <w:pPr>
        <w:pStyle w:val="Para 01"/>
      </w:pPr>
      <w:r>
        <w:t xml:space="preserve">development side, most environments that utilize Notes as their mail system have some level of competence with Notes Development and are capable of generating a suitable </w:t>
      </w:r>
    </w:p>
    <w:p>
      <w:pPr>
        <w:pStyle w:val="Para 01"/>
      </w:pPr>
      <w:r>
        <w:t xml:space="preserve">database interface for collecting information from users.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02" name="index-172_2.png" descr="index-172_2.png"/>
            <wp:cNvGraphicFramePr>
              <a:graphicFrameLocks noChangeAspect="1"/>
            </wp:cNvGraphicFramePr>
            <a:graphic>
              <a:graphicData uri="http://schemas.openxmlformats.org/drawingml/2006/picture">
                <pic:pic>
                  <pic:nvPicPr>
                    <pic:cNvPr id="0" name="index-172_2.png" descr="index-172_2.png"/>
                    <pic:cNvPicPr/>
                  </pic:nvPicPr>
                  <pic:blipFill>
                    <a:blip r:embed="rId40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03" name="index-172_3.png" descr="index-172_3.png"/>
            <wp:cNvGraphicFramePr>
              <a:graphicFrameLocks noChangeAspect="1"/>
            </wp:cNvGraphicFramePr>
            <a:graphic>
              <a:graphicData uri="http://schemas.openxmlformats.org/drawingml/2006/picture">
                <pic:pic>
                  <pic:nvPicPr>
                    <pic:cNvPr id="0" name="index-172_3.png" descr="index-172_3.png"/>
                    <pic:cNvPicPr/>
                  </pic:nvPicPr>
                  <pic:blipFill>
                    <a:blip r:embed="rId407"/>
                    <a:stretch>
                      <a:fillRect/>
                    </a:stretch>
                  </pic:blipFill>
                  <pic:spPr>
                    <a:xfrm>
                      <a:off x="0" y="0"/>
                      <a:ext cx="914400" cy="444500"/>
                    </a:xfrm>
                    <a:prstGeom prst="rect">
                      <a:avLst/>
                    </a:prstGeom>
                  </pic:spPr>
                </pic:pic>
              </a:graphicData>
            </a:graphic>
          </wp:anchor>
        </w:drawing>
      </w:r>
    </w:p>
    <w:p>
      <w:pPr>
        <w:pStyle w:val="0 Block"/>
      </w:pPr>
    </w:p>
    <w:p>
      <w:bookmarkStart w:id="180" w:name="Chapter_6_20"/>
      <w:pPr>
        <w:pStyle w:val="Heading 1"/>
        <w:pageBreakBefore w:val="on"/>
      </w:pPr>
      <w:r>
        <w:t>Chapter 6</w:t>
      </w:r>
      <w:bookmarkEnd w:id="180"/>
    </w:p>
    <w:p>
      <w:pPr>
        <w:pStyle w:val="Para 25"/>
      </w:pPr>
      <w:r>
        <w:t/>
      </w:r>
    </w:p>
    <w:p>
      <w:pPr>
        <w:pStyle w:val="Para 04"/>
      </w:pPr>
      <w:r>
        <w:t xml:space="preserve">• </w:t>
        <w:t xml:space="preserve">Other solutions—Web-based forms are also a logical choice for performing surveys, and </w:t>
      </w:r>
    </w:p>
    <w:p>
      <w:pPr>
        <w:pStyle w:val="Para 01"/>
      </w:pPr>
      <w:r>
        <w:t xml:space="preserve">several solutions are available as both products and online services to help you design, </w:t>
      </w:r>
    </w:p>
    <w:p>
      <w:pPr>
        <w:pStyle w:val="Para 01"/>
      </w:pPr>
      <w:r>
        <w:t xml:space="preserve">deploy, and analyze surveys. If you are looking for such a product or service, check out </w:t>
      </w:r>
    </w:p>
    <w:p>
      <w:pPr>
        <w:pStyle w:val="Para 01"/>
      </w:pPr>
      <w:r>
        <w:t xml:space="preserve">the following vendors: </w:t>
      </w:r>
    </w:p>
    <w:p>
      <w:pPr>
        <w:pStyle w:val="Para 25"/>
      </w:pPr>
      <w:r>
        <w:t/>
      </w:r>
    </w:p>
    <w:p>
      <w:pPr>
        <w:pStyle w:val="Para 20"/>
      </w:pPr>
      <w:r>
        <w:t xml:space="preserve">• Survey Said at http://www.surveysaid.com </w:t>
      </w:r>
    </w:p>
    <w:p>
      <w:pPr>
        <w:pStyle w:val="Para 25"/>
      </w:pPr>
      <w:r>
        <w:t/>
      </w:r>
    </w:p>
    <w:p>
      <w:pPr>
        <w:pStyle w:val="Para 20"/>
      </w:pPr>
      <w:r>
        <w:t xml:space="preserve">• Infopoll Business Intelligence Suite at http://www.infopoll.com </w:t>
      </w:r>
    </w:p>
    <w:p>
      <w:pPr>
        <w:pStyle w:val="Para 25"/>
      </w:pPr>
      <w:r>
        <w:t/>
      </w:r>
    </w:p>
    <w:p>
      <w:pPr>
        <w:pStyle w:val="Para 20"/>
      </w:pPr>
      <w:r>
        <w:t xml:space="preserve">• Zoomerang at http://www.zoomerang.com </w:t>
      </w:r>
    </w:p>
    <w:p>
      <w:pPr>
        <w:pStyle w:val="Para 25"/>
      </w:pPr>
      <w:r>
        <w:t/>
      </w:r>
    </w:p>
    <w:p>
      <w:pPr>
        <w:pStyle w:val="Para 20"/>
      </w:pPr>
      <w:r>
        <w:t xml:space="preserve">• ViewsFlash at http://www.cogix.com </w:t>
      </w:r>
    </w:p>
    <w:p>
      <w:pPr>
        <w:pStyle w:val="Para 25"/>
      </w:pPr>
      <w:r>
        <w:t/>
      </w:r>
    </w:p>
    <w:p>
      <w:pPr>
        <w:pStyle w:val="Para 20"/>
      </w:pPr>
      <w:r>
        <w:t xml:space="preserve">• SelectSurveyASP at http://www.classapps.com </w:t>
      </w:r>
    </w:p>
    <w:p>
      <w:pPr>
        <w:pStyle w:val="Para 25"/>
      </w:pPr>
      <w:r>
        <w:t/>
      </w:r>
    </w:p>
    <w:p>
      <w:pPr>
        <w:pStyle w:val="Para 12"/>
      </w:pPr>
      <w:r>
        <w:t xml:space="preserve">Documenting Your Workload </w:t>
      </w:r>
    </w:p>
    <w:p>
      <w:pPr>
        <w:pStyle w:val="Para 25"/>
      </w:pPr>
      <w:r>
        <w:t/>
      </w:r>
    </w:p>
    <w:p>
      <w:pPr>
        <w:pStyle w:val="Normal"/>
      </w:pPr>
      <w:r>
        <w:t xml:space="preserve">Few departments are able to account for and prove their workload; however, the nature of </w:t>
      </w:r>
    </w:p>
    <w:p>
      <w:pPr>
        <w:pStyle w:val="Normal"/>
      </w:pPr>
      <w:r>
        <w:t xml:space="preserve">desktop administration tasks makes them easy to measure and closely monitor. For example, a </w:t>
      </w:r>
    </w:p>
    <w:p>
      <w:pPr>
        <w:pStyle w:val="Normal"/>
      </w:pPr>
      <w:r>
        <w:t xml:space="preserve">count of how many tickets were addressed and the average time to close those tickets is a metric </w:t>
      </w:r>
    </w:p>
    <w:p>
      <w:pPr>
        <w:pStyle w:val="Normal"/>
      </w:pPr>
      <w:r>
        <w:t xml:space="preserve">often recorded for IT support departments. This information can be used to benefit the IT department: </w:t>
      </w:r>
    </w:p>
    <w:p>
      <w:pPr>
        <w:pStyle w:val="Para 25"/>
      </w:pPr>
      <w:r>
        <w:t/>
      </w:r>
    </w:p>
    <w:p>
      <w:pPr>
        <w:pStyle w:val="Para 04"/>
      </w:pPr>
      <w:r>
        <w:t xml:space="preserve">• </w:t>
        <w:t xml:space="preserve">Due appreciation—It might seem inconsequential, but if you have a group of people </w:t>
      </w:r>
    </w:p>
    <w:p>
      <w:pPr>
        <w:pStyle w:val="Para 01"/>
      </w:pPr>
      <w:r>
        <w:t xml:space="preserve">working hard week after week handling users and solving problems, it is nice to show </w:t>
      </w:r>
    </w:p>
    <w:p>
      <w:pPr>
        <w:pStyle w:val="Para 01"/>
      </w:pPr>
      <w:r>
        <w:t xml:space="preserve">them what they have accomplished. During a migration or heavy software deployment period, the level of effort required of an organization’s support staff will increase </w:t>
      </w:r>
    </w:p>
    <w:p>
      <w:pPr>
        <w:pStyle w:val="Para 01"/>
      </w:pPr>
      <w:r>
        <w:t xml:space="preserve">significantly. </w:t>
      </w:r>
    </w:p>
    <w:p>
      <w:pPr>
        <w:pStyle w:val="Para 25"/>
      </w:pPr>
      <w:r>
        <w:t/>
      </w:r>
    </w:p>
    <w:p>
      <w:pPr>
        <w:pStyle w:val="Para 04"/>
      </w:pPr>
      <w:r>
        <w:t xml:space="preserve">• </w:t>
        <w:t xml:space="preserve">Acceptable delays—Along the same lines, if you are experiencing an increased number </w:t>
      </w:r>
    </w:p>
    <w:p>
      <w:pPr>
        <w:pStyle w:val="Para 01"/>
      </w:pPr>
      <w:r>
        <w:t xml:space="preserve">of support calls and it is taking longer to address them all as a result, user knowledge of this fact can go a long way. If informed of the situation, users will be more tolerant of </w:t>
      </w:r>
    </w:p>
    <w:p>
      <w:pPr>
        <w:pStyle w:val="Para 01"/>
      </w:pPr>
      <w:r>
        <w:t xml:space="preserve">perceived delays in support—some might determine that their problem isn’t worth your </w:t>
      </w:r>
    </w:p>
    <w:p>
      <w:pPr>
        <w:pStyle w:val="Para 01"/>
      </w:pPr>
      <w:r>
        <w:t xml:space="preserve">trouble and eliminate the request altogether. </w:t>
      </w:r>
    </w:p>
    <w:p>
      <w:pPr>
        <w:pStyle w:val="Para 25"/>
      </w:pPr>
      <w:r>
        <w:t/>
      </w:r>
    </w:p>
    <w:p>
      <w:pPr>
        <w:pStyle w:val="Para 04"/>
      </w:pPr>
      <w:r>
        <w:t xml:space="preserve">• </w:t>
        <w:t xml:space="preserve">Justification for staff increases—If your support team has a constant backlog of trouble </w:t>
      </w:r>
    </w:p>
    <w:p>
      <w:pPr>
        <w:pStyle w:val="Para 01"/>
      </w:pPr>
      <w:r>
        <w:t xml:space="preserve">tickets and can show that a healthy number are indeed being addressed each day, it is </w:t>
      </w:r>
    </w:p>
    <w:p>
      <w:pPr>
        <w:pStyle w:val="Para 01"/>
      </w:pPr>
      <w:r>
        <w:t xml:space="preserve">very easy to show a need for more personnel. </w:t>
      </w:r>
    </w:p>
    <w:p>
      <w:pPr>
        <w:pStyle w:val="Para 25"/>
      </w:pPr>
      <w:r>
        <w:t/>
      </w:r>
    </w:p>
    <w:p>
      <w:pPr>
        <w:pStyle w:val="Para 12"/>
      </w:pPr>
      <w:r>
        <w:t xml:space="preserve">Summary </w:t>
      </w:r>
    </w:p>
    <w:p>
      <w:pPr>
        <w:pStyle w:val="Para 25"/>
      </w:pPr>
      <w:r>
        <w:t/>
      </w:r>
    </w:p>
    <w:p>
      <w:pPr>
        <w:pStyle w:val="Normal"/>
      </w:pPr>
      <w:r>
        <w:t>In this chapter, we looked at desktop support, including best practices, the benefits of a ticket-</w:t>
      </w:r>
    </w:p>
    <w:p>
      <w:pPr>
        <w:pStyle w:val="Normal"/>
      </w:pPr>
      <w:r>
        <w:t xml:space="preserve">tracking system, and the importance of a knowledge base and remote control tools. We ended with a discussion of common obstacles and troubleshooting tips. In the next chapter, I’ll cover </w:t>
      </w:r>
    </w:p>
    <w:p>
      <w:pPr>
        <w:pStyle w:val="Normal"/>
      </w:pPr>
      <w:r>
        <w:t>scripting and how you can automate tasks and simplify administration through scripts.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04" name="index-173_1.png" descr="index-173_1.png"/>
            <wp:cNvGraphicFramePr>
              <a:graphicFrameLocks noChangeAspect="1"/>
            </wp:cNvGraphicFramePr>
            <a:graphic>
              <a:graphicData uri="http://schemas.openxmlformats.org/drawingml/2006/picture">
                <pic:pic>
                  <pic:nvPicPr>
                    <pic:cNvPr id="0" name="index-173_1.png" descr="index-173_1.png"/>
                    <pic:cNvPicPr/>
                  </pic:nvPicPr>
                  <pic:blipFill>
                    <a:blip r:embed="rId40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05" name="index-173_2.png" descr="index-173_2.png"/>
            <wp:cNvGraphicFramePr>
              <a:graphicFrameLocks noChangeAspect="1"/>
            </wp:cNvGraphicFramePr>
            <a:graphic>
              <a:graphicData uri="http://schemas.openxmlformats.org/drawingml/2006/picture">
                <pic:pic>
                  <pic:nvPicPr>
                    <pic:cNvPr id="0" name="index-173_2.png" descr="index-173_2.png"/>
                    <pic:cNvPicPr/>
                  </pic:nvPicPr>
                  <pic:blipFill>
                    <a:blip r:embed="rId409"/>
                    <a:stretch>
                      <a:fillRect/>
                    </a:stretch>
                  </pic:blipFill>
                  <pic:spPr>
                    <a:xfrm>
                      <a:off x="0" y="0"/>
                      <a:ext cx="914400" cy="444500"/>
                    </a:xfrm>
                    <a:prstGeom prst="rect">
                      <a:avLst/>
                    </a:prstGeom>
                  </pic:spPr>
                </pic:pic>
              </a:graphicData>
            </a:graphic>
          </wp:anchor>
        </w:drawing>
      </w:r>
    </w:p>
    <w:p>
      <w:pPr>
        <w:pStyle w:val="0 Block"/>
      </w:pPr>
    </w:p>
    <w:p>
      <w:bookmarkStart w:id="181" w:name="Chapter_7"/>
      <w:pPr>
        <w:pStyle w:val="Heading 1"/>
        <w:pageBreakBefore w:val="on"/>
      </w:pPr>
      <w:r>
        <w:t>Chapter 7</w:t>
      </w:r>
      <w:bookmarkEnd w:id="181"/>
    </w:p>
    <w:p>
      <w:pPr>
        <w:pStyle w:val="Para 25"/>
      </w:pPr>
      <w:r>
        <w:t/>
      </w:r>
    </w:p>
    <w:p>
      <w:pPr>
        <w:pStyle w:val="0 Block"/>
      </w:pPr>
    </w:p>
    <w:p>
      <w:bookmarkStart w:id="182" w:name="Chapter_7__Scripting_Custom_Solu"/>
      <w:pPr>
        <w:pStyle w:val="Para 23"/>
        <w:pageBreakBefore w:val="on"/>
      </w:pPr>
      <w:r>
        <w:t xml:space="preserve">Chapter 7: Scripting Custom Solutions </w:t>
      </w:r>
      <w:bookmarkEnd w:id="182"/>
    </w:p>
    <w:p>
      <w:pPr>
        <w:pStyle w:val="Para 25"/>
      </w:pPr>
      <w:r>
        <w:t/>
      </w:r>
    </w:p>
    <w:p>
      <w:pPr>
        <w:pStyle w:val="Normal"/>
      </w:pPr>
      <w:r>
        <w:t xml:space="preserve">Even the most robust, all-encompassing off-the-shelf solution cannot provide an answer for </w:t>
      </w:r>
    </w:p>
    <w:p>
      <w:pPr>
        <w:pStyle w:val="Normal"/>
      </w:pPr>
      <w:r>
        <w:t xml:space="preserve">every problem you are likely to face. The more complex the requirements of your organization, </w:t>
      </w:r>
    </w:p>
    <w:p>
      <w:pPr>
        <w:pStyle w:val="Normal"/>
      </w:pPr>
      <w:r>
        <w:t xml:space="preserve">the quicker you will encounter a need to develop your own solutions—perhaps by extending the capabilities of a management system or utility that you already own. Acknowledging this need, </w:t>
      </w:r>
    </w:p>
    <w:p>
      <w:pPr>
        <w:pStyle w:val="Normal"/>
      </w:pPr>
      <w:r>
        <w:t xml:space="preserve">many management solution vendors include in their tools an ability to facilitate custom scripting </w:t>
      </w:r>
    </w:p>
    <w:p>
      <w:pPr>
        <w:pStyle w:val="Normal"/>
      </w:pPr>
      <w:r>
        <w:t xml:space="preserve">by providing integration through Common Object Model (COM) automation, application </w:t>
      </w:r>
    </w:p>
    <w:p>
      <w:pPr>
        <w:pStyle w:val="Normal"/>
      </w:pPr>
      <w:r>
        <w:t xml:space="preserve">programming interfaces (APIs), and even their own scripting languages. </w:t>
      </w:r>
    </w:p>
    <w:p>
      <w:pPr>
        <w:pStyle w:val="Para 25"/>
      </w:pPr>
      <w:r>
        <w:t/>
      </w:r>
    </w:p>
    <w:p>
      <w:pPr>
        <w:pStyle w:val="Normal"/>
      </w:pPr>
      <w:r>
        <w:t xml:space="preserve">Scripting and automation are synonymous. If you need to perform the same actions every day, or </w:t>
      </w:r>
    </w:p>
    <w:p>
      <w:pPr>
        <w:pStyle w:val="Normal"/>
      </w:pPr>
      <w:r>
        <w:t xml:space="preserve">hundreds of times at once, the need for a utility or script becomes clear. Many command-line </w:t>
      </w:r>
    </w:p>
    <w:p>
      <w:pPr>
        <w:pStyle w:val="Normal"/>
      </w:pPr>
      <w:r>
        <w:t xml:space="preserve">tools offer functions designed for use in scripts. For example, suppose you want to reboot several computers; you can use the shutdown.exe utility that has been around for years, but it has a </w:t>
      </w:r>
    </w:p>
    <w:p>
      <w:pPr>
        <w:pStyle w:val="Normal"/>
      </w:pPr>
      <w:r>
        <w:t xml:space="preserve">limitation—it accepts only a single computer name as a parameter. Although you no longer have </w:t>
      </w:r>
    </w:p>
    <w:p>
      <w:pPr>
        <w:pStyle w:val="Normal"/>
      </w:pPr>
      <w:r>
        <w:t xml:space="preserve">to visit hundreds of machines to reboot them, you will still have to type each individual computer name hundreds of times as a parameter for this utility. However, you can write a script that can </w:t>
      </w:r>
    </w:p>
    <w:p>
      <w:pPr>
        <w:pStyle w:val="Normal"/>
      </w:pPr>
      <w:r>
        <w:t xml:space="preserve">read your list of computers and execute the command line for each one. Doing so lets you spend </w:t>
      </w:r>
    </w:p>
    <w:p>
      <w:pPr>
        <w:pStyle w:val="Normal"/>
      </w:pPr>
      <w:r>
        <w:t xml:space="preserve">your time writing a script instead of writing out a batch file or typing the shutdown command </w:t>
      </w:r>
    </w:p>
    <w:p>
      <w:pPr>
        <w:pStyle w:val="Normal"/>
      </w:pPr>
      <w:r>
        <w:t xml:space="preserve">over and over again: </w:t>
      </w:r>
    </w:p>
    <w:p>
      <w:pPr>
        <w:pStyle w:val="Para 25"/>
      </w:pPr>
      <w:r>
        <w:t/>
      </w:r>
    </w:p>
    <w:p>
      <w:pPr>
        <w:pStyle w:val="Para 11"/>
      </w:pPr>
      <w:r>
        <w:t xml:space="preserve">Shutdown.exe –r –m \\PC7463 </w:t>
      </w:r>
    </w:p>
    <w:p>
      <w:pPr>
        <w:pStyle w:val="Para 11"/>
      </w:pPr>
      <w:r>
        <w:t xml:space="preserve">Shutdown.exe –r –m \\PC3772 </w:t>
      </w:r>
    </w:p>
    <w:p>
      <w:pPr>
        <w:pStyle w:val="Para 11"/>
      </w:pPr>
      <w:r>
        <w:t xml:space="preserve">Shutdown.exe –r –m \\PC9283 </w:t>
      </w:r>
    </w:p>
    <w:p>
      <w:pPr>
        <w:pStyle w:val="Para 11"/>
      </w:pPr>
      <w:r>
        <w:t xml:space="preserve">Shutdown.exe –r –m \\PC0139 </w:t>
      </w:r>
    </w:p>
    <w:p>
      <w:pPr>
        <w:pStyle w:val="Para 25"/>
      </w:pPr>
      <w:r>
        <w:t/>
      </w:r>
    </w:p>
    <w:p>
      <w:pPr>
        <w:pStyle w:val="Para 02"/>
      </w:pPr>
      <w:r>
        <w:t xml:space="preserve">Later in this chapter, we will cover a script that you can use to restart multiple machines. </w:t>
      </w:r>
    </w:p>
    <w:p>
      <w:pPr>
        <w:pStyle w:val="Para 25"/>
      </w:pPr>
      <w:r>
        <w:t/>
      </w:r>
    </w:p>
    <w:p>
      <w:pPr>
        <w:pStyle w:val="Para 12"/>
      </w:pPr>
      <w:r>
        <w:t xml:space="preserve">Should You Script It? </w:t>
      </w:r>
    </w:p>
    <w:p>
      <w:pPr>
        <w:pStyle w:val="Para 25"/>
      </w:pPr>
      <w:r>
        <w:t/>
      </w:r>
    </w:p>
    <w:p>
      <w:pPr>
        <w:pStyle w:val="Normal"/>
      </w:pPr>
      <w:r>
        <w:t xml:space="preserve">If it is faster to script a task than it is to perform the task manually, the decision of whether to </w:t>
      </w:r>
    </w:p>
    <w:p>
      <w:pPr>
        <w:pStyle w:val="Normal"/>
      </w:pPr>
      <w:r>
        <w:t xml:space="preserve">script the task seems like an obvious decision. However, if you will need a week to script a task or a week to perform the task manually, what then? Consider the following benefits of scripting: </w:t>
      </w:r>
    </w:p>
    <w:p>
      <w:pPr>
        <w:pStyle w:val="Para 25"/>
      </w:pPr>
      <w:r>
        <w:t/>
      </w:r>
    </w:p>
    <w:p>
      <w:pPr>
        <w:pStyle w:val="Para 04"/>
      </w:pPr>
      <w:r>
        <w:t xml:space="preserve">• </w:t>
        <w:t xml:space="preserve">Reuse—To use the previously mentioned shutdown script as an example, the decision to </w:t>
      </w:r>
    </w:p>
    <w:p>
      <w:pPr>
        <w:pStyle w:val="Para 01"/>
      </w:pPr>
      <w:r>
        <w:t xml:space="preserve">script the task might be questionable if only 50 machines need to be restarted. However, </w:t>
      </w:r>
    </w:p>
    <w:p>
      <w:pPr>
        <w:pStyle w:val="Para 01"/>
      </w:pPr>
      <w:r>
        <w:t xml:space="preserve">you must consider the fact that you will have this script available the next time those machines need to be restarted. If restarting computers is something you do often (as is </w:t>
      </w:r>
    </w:p>
    <w:p>
      <w:pPr>
        <w:pStyle w:val="Para 01"/>
      </w:pPr>
      <w:r>
        <w:t xml:space="preserve">usually the case for systems administrators who use Group Policy for software </w:t>
      </w:r>
    </w:p>
    <w:p>
      <w:pPr>
        <w:pStyle w:val="Para 01"/>
      </w:pPr>
      <w:r>
        <w:t xml:space="preserve">distribution), a script that does the job can be quite valuable. </w:t>
      </w:r>
    </w:p>
    <w:p>
      <w:pPr>
        <w:pStyle w:val="Para 25"/>
      </w:pPr>
      <w:r>
        <w:t/>
      </w:r>
    </w:p>
    <w:p>
      <w:pPr>
        <w:pStyle w:val="Para 04"/>
      </w:pPr>
      <w:r>
        <w:t xml:space="preserve">• </w:t>
        <w:t xml:space="preserve">Customization—The ability to customize every aspect of your solution is a major benefit </w:t>
      </w:r>
    </w:p>
    <w:p>
      <w:pPr>
        <w:pStyle w:val="Para 01"/>
      </w:pPr>
      <w:r>
        <w:t xml:space="preserve">of scripting. However, this benefit comes with a drawback: Once you start to produce </w:t>
      </w:r>
    </w:p>
    <w:p>
      <w:pPr>
        <w:pStyle w:val="Para 01"/>
      </w:pPr>
      <w:r>
        <w:t xml:space="preserve">custom solutions, you will soon be asked for further customization and scripting can </w:t>
      </w:r>
    </w:p>
    <w:p>
      <w:pPr>
        <w:pStyle w:val="Para 01"/>
      </w:pPr>
      <w:r>
        <w:t xml:space="preserve">quickly become a large part of your day. (Tasks management might have originally seen </w:t>
      </w:r>
    </w:p>
    <w:p>
      <w:pPr>
        <w:pStyle w:val="Para 01"/>
      </w:pPr>
      <w:r>
        <w:t xml:space="preserve">as technically unfeasible will suddenly start to seem within their grasp—they can think up all kinds of ridiculous things for you to script!)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06" name="index-174_1.png" descr="index-174_1.png"/>
            <wp:cNvGraphicFramePr>
              <a:graphicFrameLocks noChangeAspect="1"/>
            </wp:cNvGraphicFramePr>
            <a:graphic>
              <a:graphicData uri="http://schemas.openxmlformats.org/drawingml/2006/picture">
                <pic:pic>
                  <pic:nvPicPr>
                    <pic:cNvPr id="0" name="index-174_1.png" descr="index-174_1.png"/>
                    <pic:cNvPicPr/>
                  </pic:nvPicPr>
                  <pic:blipFill>
                    <a:blip r:embed="rId41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07" name="index-174_2.png" descr="index-174_2.png"/>
            <wp:cNvGraphicFramePr>
              <a:graphicFrameLocks noChangeAspect="1"/>
            </wp:cNvGraphicFramePr>
            <a:graphic>
              <a:graphicData uri="http://schemas.openxmlformats.org/drawingml/2006/picture">
                <pic:pic>
                  <pic:nvPicPr>
                    <pic:cNvPr id="0" name="index-174_2.png" descr="index-174_2.png"/>
                    <pic:cNvPicPr/>
                  </pic:nvPicPr>
                  <pic:blipFill>
                    <a:blip r:embed="rId411"/>
                    <a:stretch>
                      <a:fillRect/>
                    </a:stretch>
                  </pic:blipFill>
                  <pic:spPr>
                    <a:xfrm>
                      <a:off x="0" y="0"/>
                      <a:ext cx="914400" cy="444500"/>
                    </a:xfrm>
                    <a:prstGeom prst="rect">
                      <a:avLst/>
                    </a:prstGeom>
                  </pic:spPr>
                </pic:pic>
              </a:graphicData>
            </a:graphic>
          </wp:anchor>
        </w:drawing>
      </w:r>
    </w:p>
    <w:p>
      <w:pPr>
        <w:pStyle w:val="0 Block"/>
      </w:pPr>
    </w:p>
    <w:p>
      <w:bookmarkStart w:id="183" w:name="Chapter_7_1"/>
      <w:pPr>
        <w:pStyle w:val="Heading 1"/>
        <w:pageBreakBefore w:val="on"/>
      </w:pPr>
      <w:r>
        <w:t>Chapter 7</w:t>
      </w:r>
      <w:bookmarkEnd w:id="183"/>
    </w:p>
    <w:p>
      <w:pPr>
        <w:pStyle w:val="Para 25"/>
      </w:pPr>
      <w:r>
        <w:t/>
      </w:r>
    </w:p>
    <w:p>
      <w:pPr>
        <w:pStyle w:val="Para 04"/>
      </w:pPr>
      <w:r>
        <w:t xml:space="preserve">• </w:t>
        <w:t xml:space="preserve">Easily modified—Depending on how you write your script, you can easily make a script </w:t>
      </w:r>
    </w:p>
    <w:p>
      <w:pPr>
        <w:pStyle w:val="Para 01"/>
      </w:pPr>
      <w:r>
        <w:t xml:space="preserve">capable of change (such as running on an alternative network). In addition, when a </w:t>
      </w:r>
    </w:p>
    <w:p>
      <w:pPr>
        <w:pStyle w:val="Para 01"/>
      </w:pPr>
      <w:r>
        <w:t xml:space="preserve">change is requested, a well-organized script can make the process painless. </w:t>
      </w:r>
    </w:p>
    <w:p>
      <w:pPr>
        <w:pStyle w:val="Para 25"/>
      </w:pPr>
      <w:r>
        <w:t/>
      </w:r>
    </w:p>
    <w:p>
      <w:pPr>
        <w:pStyle w:val="Para 02"/>
      </w:pPr>
      <w:r>
        <w:t xml:space="preserve">One way you can make your script easy to modify is to use environment variables and to set your </w:t>
      </w:r>
    </w:p>
    <w:p>
      <w:pPr>
        <w:pStyle w:val="Para 02"/>
      </w:pPr>
      <w:r>
        <w:t xml:space="preserve">own variables for anything that could change down the road. Use of comments and in-line </w:t>
      </w:r>
    </w:p>
    <w:p>
      <w:pPr>
        <w:pStyle w:val="Para 02"/>
      </w:pPr>
      <w:r>
        <w:t xml:space="preserve">documentation can make your script easy to follow. Additionally, when you segment your scripts by </w:t>
      </w:r>
    </w:p>
    <w:p>
      <w:pPr>
        <w:pStyle w:val="Para 02"/>
      </w:pPr>
      <w:r>
        <w:t xml:space="preserve">functionality, you can more easily determine where newly requested actions could best be inserted. </w:t>
      </w:r>
    </w:p>
    <w:p>
      <w:pPr>
        <w:pStyle w:val="Para 25"/>
      </w:pPr>
      <w:r>
        <w:t/>
      </w:r>
    </w:p>
    <w:p>
      <w:pPr>
        <w:pStyle w:val="Normal"/>
      </w:pPr>
      <w:r>
        <w:t xml:space="preserve">You could spend weeks or months perfecting a script to make it look nice and take every </w:t>
      </w:r>
    </w:p>
    <w:p>
      <w:pPr>
        <w:pStyle w:val="Normal"/>
      </w:pPr>
      <w:r>
        <w:t xml:space="preserve">situation into account. This effort is well worthwhile at times and sometimes it is getting carried away. Establish a set of goals for your script and try your best to stick to accomplishing them. </w:t>
      </w:r>
    </w:p>
    <w:p>
      <w:pPr>
        <w:pStyle w:val="Normal"/>
      </w:pPr>
      <w:r>
        <w:t xml:space="preserve">Additionally, documentation, support, and the potential to do a great deal of damage must be </w:t>
      </w:r>
    </w:p>
    <w:p>
      <w:pPr>
        <w:pStyle w:val="Normal"/>
      </w:pPr>
      <w:r>
        <w:t xml:space="preserve">taken into consideration as potential drawbacks of scripting: </w:t>
      </w:r>
    </w:p>
    <w:p>
      <w:pPr>
        <w:pStyle w:val="Para 25"/>
      </w:pPr>
      <w:r>
        <w:t/>
      </w:r>
    </w:p>
    <w:p>
      <w:pPr>
        <w:pStyle w:val="Para 04"/>
      </w:pPr>
      <w:r>
        <w:t xml:space="preserve">• </w:t>
        <w:t xml:space="preserve">Documentation—Administrators are not typically fond of documentation. However, an </w:t>
      </w:r>
    </w:p>
    <w:p>
      <w:pPr>
        <w:pStyle w:val="Para 01"/>
      </w:pPr>
      <w:r>
        <w:t xml:space="preserve">undocumented script can lead to problems when the individual that wrote the script is no </w:t>
      </w:r>
    </w:p>
    <w:p>
      <w:pPr>
        <w:pStyle w:val="Para 01"/>
      </w:pPr>
      <w:r>
        <w:t xml:space="preserve">longer around to answer questions. I have seen months of effort scrapped simply because </w:t>
      </w:r>
    </w:p>
    <w:p>
      <w:pPr>
        <w:pStyle w:val="Para 01"/>
      </w:pPr>
      <w:r>
        <w:t xml:space="preserve">it is easier to start over than to figure out what the existing script is doing (and why). </w:t>
      </w:r>
    </w:p>
    <w:p>
      <w:pPr>
        <w:pStyle w:val="Para 25"/>
      </w:pPr>
      <w:r>
        <w:t/>
      </w:r>
    </w:p>
    <w:p>
      <w:pPr>
        <w:pStyle w:val="Para 02"/>
      </w:pPr>
      <w:r>
        <w:t xml:space="preserve">Every scripting language available offers some form of support for comments or remarks. These are </w:t>
      </w:r>
    </w:p>
    <w:p>
      <w:pPr>
        <w:pStyle w:val="Para 02"/>
      </w:pPr>
      <w:r>
        <w:t xml:space="preserve">lines in the script that are not processed when executed and that you can use for in-line </w:t>
      </w:r>
    </w:p>
    <w:p>
      <w:pPr>
        <w:pStyle w:val="Para 02"/>
      </w:pPr>
      <w:r>
        <w:t xml:space="preserve">documentation. Regardless of whether you plan to start generating text or Help files to explain and </w:t>
      </w:r>
    </w:p>
    <w:p>
      <w:pPr>
        <w:pStyle w:val="Para 02"/>
      </w:pPr>
      <w:r>
        <w:t xml:space="preserve">instruct others about your scripts, in-line comments will help others to quickly understand what is </w:t>
      </w:r>
    </w:p>
    <w:p>
      <w:pPr>
        <w:pStyle w:val="Para 02"/>
      </w:pPr>
      <w:r>
        <w:t xml:space="preserve">happening and will also help you when you come back to a script you wrote long ago. </w:t>
      </w:r>
    </w:p>
    <w:p>
      <w:pPr>
        <w:pStyle w:val="Para 25"/>
      </w:pPr>
      <w:r>
        <w:t/>
      </w:r>
    </w:p>
    <w:p>
      <w:pPr>
        <w:pStyle w:val="Para 04"/>
      </w:pPr>
      <w:r>
        <w:t xml:space="preserve">• Widespread damage—The potential to do damage is as much a problem for the </w:t>
      </w:r>
    </w:p>
    <w:p>
      <w:pPr>
        <w:pStyle w:val="Para 01"/>
      </w:pPr>
      <w:r>
        <w:t xml:space="preserve">experienced scripter that makes a simple mistake as it is for the newbie scripter that </w:t>
      </w:r>
    </w:p>
    <w:p>
      <w:pPr>
        <w:pStyle w:val="Para 01"/>
      </w:pPr>
      <w:r>
        <w:t xml:space="preserve">wants to try out a new script function. Particularly when dealing with scripts that reach out across the network to many machines, it is very important that operations be tested in </w:t>
      </w:r>
    </w:p>
    <w:p>
      <w:pPr>
        <w:pStyle w:val="Para 01"/>
      </w:pPr>
      <w:r>
        <w:t xml:space="preserve">a lab or offline environment before letting them loose on your production network. </w:t>
      </w:r>
    </w:p>
    <w:p>
      <w:pPr>
        <w:pStyle w:val="Para 25"/>
      </w:pPr>
      <w:r>
        <w:t/>
      </w:r>
    </w:p>
    <w:p>
      <w:pPr>
        <w:pStyle w:val="Para 01"/>
      </w:pPr>
      <w:r>
        <w:t xml:space="preserve">Many environments restrict the use of development tools in production to prevent </w:t>
      </w:r>
    </w:p>
    <w:p>
      <w:pPr>
        <w:pStyle w:val="Para 01"/>
      </w:pPr>
      <w:r>
        <w:t xml:space="preserve">damaging mistakes but allow scripting to take place on the production network. This type of policy doesn’t make sense—you can do just as much damage with a VBScript as you </w:t>
      </w:r>
    </w:p>
    <w:p>
      <w:pPr>
        <w:pStyle w:val="Para 01"/>
      </w:pPr>
      <w:r>
        <w:t xml:space="preserve">can with a Visual Basic application (see the sidebar “Script vs. Application: What is the </w:t>
      </w:r>
    </w:p>
    <w:p>
      <w:pPr>
        <w:pStyle w:val="Para 01"/>
      </w:pPr>
      <w:r>
        <w:t xml:space="preserve">Difference?”).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08" name="index-175_1.png" descr="index-175_1.png"/>
            <wp:cNvGraphicFramePr>
              <a:graphicFrameLocks noChangeAspect="1"/>
            </wp:cNvGraphicFramePr>
            <a:graphic>
              <a:graphicData uri="http://schemas.openxmlformats.org/drawingml/2006/picture">
                <pic:pic>
                  <pic:nvPicPr>
                    <pic:cNvPr id="0" name="index-175_1.png" descr="index-175_1.png"/>
                    <pic:cNvPicPr/>
                  </pic:nvPicPr>
                  <pic:blipFill>
                    <a:blip r:embed="rId41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09" name="index-175_2.png" descr="index-175_2.png"/>
            <wp:cNvGraphicFramePr>
              <a:graphicFrameLocks noChangeAspect="1"/>
            </wp:cNvGraphicFramePr>
            <a:graphic>
              <a:graphicData uri="http://schemas.openxmlformats.org/drawingml/2006/picture">
                <pic:pic>
                  <pic:nvPicPr>
                    <pic:cNvPr id="0" name="index-175_2.png" descr="index-175_2.png"/>
                    <pic:cNvPicPr/>
                  </pic:nvPicPr>
                  <pic:blipFill>
                    <a:blip r:embed="rId413"/>
                    <a:stretch>
                      <a:fillRect/>
                    </a:stretch>
                  </pic:blipFill>
                  <pic:spPr>
                    <a:xfrm>
                      <a:off x="0" y="0"/>
                      <a:ext cx="914400" cy="444500"/>
                    </a:xfrm>
                    <a:prstGeom prst="rect">
                      <a:avLst/>
                    </a:prstGeom>
                  </pic:spPr>
                </pic:pic>
              </a:graphicData>
            </a:graphic>
          </wp:anchor>
        </w:drawing>
      </w:r>
    </w:p>
    <w:p>
      <w:pPr>
        <w:pStyle w:val="0 Block"/>
      </w:pPr>
    </w:p>
    <w:p>
      <w:bookmarkStart w:id="184" w:name="Chapter_7_2"/>
      <w:pPr>
        <w:pStyle w:val="Heading 1"/>
        <w:pageBreakBefore w:val="on"/>
      </w:pPr>
      <w:r>
        <w:t>Chapter 7</w:t>
      </w:r>
      <w:bookmarkEnd w:id="184"/>
    </w:p>
    <w:p>
      <w:pPr>
        <w:pStyle w:val="Para 25"/>
      </w:pPr>
      <w:r>
        <w:t/>
      </w:r>
    </w:p>
    <w:p>
      <w:pPr>
        <w:pStyle w:val="Para 19"/>
      </w:pPr>
      <w:r>
        <w:t xml:space="preserve">Script vs. Application: What is the Difference? </w:t>
      </w:r>
    </w:p>
    <w:p>
      <w:pPr>
        <w:pStyle w:val="Para 03"/>
      </w:pPr>
      <w:r>
        <w:t xml:space="preserve">There is a fine line between script and application. Some organizations define applications as executable </w:t>
        <w:t xml:space="preserve">files with graphical user interfaces (GUIs) that are executed by users. A script can certainly meet these </w:t>
        <w:t xml:space="preserve">criteria. For example, a KiXtart script could be bundled into an executable with the KiXscripts Editor </w:t>
        <w:t xml:space="preserve">(http://www.kixscripts.com), utilize COM to provide a graphical interface (http://www.kixforms.com), and, </w:t>
        <w:t xml:space="preserve">with a simple shortcut, be made available for users to execute. Figure 7.1 shows a KiXtart script that uses </w:t>
        <w:t xml:space="preserve">KiXforms to provide users with a means of browsing Windows Management Instrumentation (WMI) and </w:t>
        <w:t xml:space="preserve">its values.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797300" cy="2755900"/>
            <wp:effectExtent l="0" r="0" t="0" b="0"/>
            <wp:wrapTopAndBottom/>
            <wp:docPr id="410" name="index-176_1.png" descr="index-176_1.png"/>
            <wp:cNvGraphicFramePr>
              <a:graphicFrameLocks noChangeAspect="1"/>
            </wp:cNvGraphicFramePr>
            <a:graphic>
              <a:graphicData uri="http://schemas.openxmlformats.org/drawingml/2006/picture">
                <pic:pic>
                  <pic:nvPicPr>
                    <pic:cNvPr id="0" name="index-176_1.png" descr="index-176_1.png"/>
                    <pic:cNvPicPr/>
                  </pic:nvPicPr>
                  <pic:blipFill>
                    <a:blip r:embed="rId414"/>
                    <a:stretch>
                      <a:fillRect/>
                    </a:stretch>
                  </pic:blipFill>
                  <pic:spPr>
                    <a:xfrm>
                      <a:off x="0" y="0"/>
                      <a:ext cx="3797300" cy="2755900"/>
                    </a:xfrm>
                    <a:prstGeom prst="rect">
                      <a:avLst/>
                    </a:prstGeom>
                  </pic:spPr>
                </pic:pic>
              </a:graphicData>
            </a:graphic>
          </wp:anchor>
        </w:drawing>
      </w:r>
    </w:p>
    <w:p>
      <w:pPr>
        <w:pStyle w:val="Para 25"/>
      </w:pPr>
      <w:r>
        <w:t/>
      </w:r>
    </w:p>
    <w:p>
      <w:pPr>
        <w:pStyle w:val="Para 10"/>
      </w:pPr>
      <w:r>
        <w:t xml:space="preserve">Figure 7.1: WMI Explorer script using KiXforms. </w:t>
      </w:r>
    </w:p>
    <w:p>
      <w:pPr>
        <w:pStyle w:val="Para 25"/>
      </w:pPr>
      <w:r>
        <w:t/>
      </w:r>
    </w:p>
    <w:p>
      <w:pPr>
        <w:pStyle w:val="Para 02"/>
      </w:pPr>
      <w:r>
        <w:t xml:space="preserve">An offline test or lab environment is ideal for script development. If you need access to a database or </w:t>
      </w:r>
    </w:p>
    <w:p>
      <w:pPr>
        <w:pStyle w:val="Para 02"/>
      </w:pPr>
      <w:r>
        <w:t xml:space="preserve">server-side component, consider replicating a minimal facsimile of what you require for your testing </w:t>
      </w:r>
    </w:p>
    <w:p>
      <w:pPr>
        <w:pStyle w:val="Para 02"/>
      </w:pPr>
      <w:r>
        <w:t xml:space="preserve">before using your script on a mission-critical server. If you don’t have an entire lab at your disposal, </w:t>
      </w:r>
    </w:p>
    <w:p>
      <w:pPr>
        <w:pStyle w:val="Para 02"/>
      </w:pPr>
      <w:r>
        <w:t xml:space="preserve">consider products such as VirtualPC or VMware to emulate an entire network on your computer.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11" name="index-176_2.png" descr="index-176_2.png"/>
            <wp:cNvGraphicFramePr>
              <a:graphicFrameLocks noChangeAspect="1"/>
            </wp:cNvGraphicFramePr>
            <a:graphic>
              <a:graphicData uri="http://schemas.openxmlformats.org/drawingml/2006/picture">
                <pic:pic>
                  <pic:nvPicPr>
                    <pic:cNvPr id="0" name="index-176_2.png" descr="index-176_2.png"/>
                    <pic:cNvPicPr/>
                  </pic:nvPicPr>
                  <pic:blipFill>
                    <a:blip r:embed="rId41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12" name="index-176_3.png" descr="index-176_3.png"/>
            <wp:cNvGraphicFramePr>
              <a:graphicFrameLocks noChangeAspect="1"/>
            </wp:cNvGraphicFramePr>
            <a:graphic>
              <a:graphicData uri="http://schemas.openxmlformats.org/drawingml/2006/picture">
                <pic:pic>
                  <pic:nvPicPr>
                    <pic:cNvPr id="0" name="index-176_3.png" descr="index-176_3.png"/>
                    <pic:cNvPicPr/>
                  </pic:nvPicPr>
                  <pic:blipFill>
                    <a:blip r:embed="rId416"/>
                    <a:stretch>
                      <a:fillRect/>
                    </a:stretch>
                  </pic:blipFill>
                  <pic:spPr>
                    <a:xfrm>
                      <a:off x="0" y="0"/>
                      <a:ext cx="914400" cy="444500"/>
                    </a:xfrm>
                    <a:prstGeom prst="rect">
                      <a:avLst/>
                    </a:prstGeom>
                  </pic:spPr>
                </pic:pic>
              </a:graphicData>
            </a:graphic>
          </wp:anchor>
        </w:drawing>
      </w:r>
    </w:p>
    <w:p>
      <w:pPr>
        <w:pStyle w:val="0 Block"/>
      </w:pPr>
    </w:p>
    <w:p>
      <w:bookmarkStart w:id="185" w:name="Chapter_7_3"/>
      <w:pPr>
        <w:pStyle w:val="Heading 1"/>
        <w:pageBreakBefore w:val="on"/>
      </w:pPr>
      <w:r>
        <w:t>Chapter 7</w:t>
      </w:r>
      <w:bookmarkEnd w:id="185"/>
    </w:p>
    <w:p>
      <w:pPr>
        <w:pStyle w:val="Para 25"/>
      </w:pPr>
      <w:r>
        <w:t/>
      </w:r>
    </w:p>
    <w:p>
      <w:pPr>
        <w:pStyle w:val="Para 04"/>
      </w:pPr>
      <w:r>
        <w:t xml:space="preserve">• </w:t>
        <w:t xml:space="preserve">Support—Using a third-party solution to perform a scriptable action ensures a certain </w:t>
      </w:r>
    </w:p>
    <w:p>
      <w:pPr>
        <w:pStyle w:val="Para 01"/>
      </w:pPr>
      <w:r>
        <w:t xml:space="preserve">level of support. If a change to the Windows OS or its security stops a custom script from </w:t>
      </w:r>
    </w:p>
    <w:p>
      <w:pPr>
        <w:pStyle w:val="Para 01"/>
      </w:pPr>
      <w:r>
        <w:t xml:space="preserve">functioning, who can you call? </w:t>
      </w:r>
    </w:p>
    <w:p>
      <w:pPr>
        <w:pStyle w:val="Para 25"/>
      </w:pPr>
      <w:r>
        <w:t/>
      </w:r>
    </w:p>
    <w:p>
      <w:pPr>
        <w:pStyle w:val="Para 04"/>
      </w:pPr>
      <w:r>
        <w:t xml:space="preserve">• </w:t>
        <w:t xml:space="preserve">Upgrades and enhancements—Chances are, when you develop a custom script, it is with </w:t>
      </w:r>
    </w:p>
    <w:p>
      <w:pPr>
        <w:pStyle w:val="Para 01"/>
      </w:pPr>
      <w:r>
        <w:t xml:space="preserve">a very narrow view. You know exactly what you want the script to do, and you target the script to accomplish that goal. A third-party tool is typically enhanced and upgraded to </w:t>
      </w:r>
    </w:p>
    <w:p>
      <w:pPr>
        <w:pStyle w:val="Para 01"/>
      </w:pPr>
      <w:r>
        <w:t xml:space="preserve">remain competitive with similar tools. This competitive nature will likely result in the </w:t>
      </w:r>
    </w:p>
    <w:p>
      <w:pPr>
        <w:pStyle w:val="Para 01"/>
      </w:pPr>
      <w:r>
        <w:t xml:space="preserve">inclusion of features you would not have thought about nor had the time to develop. </w:t>
      </w:r>
    </w:p>
    <w:p>
      <w:pPr>
        <w:pStyle w:val="Para 25"/>
      </w:pPr>
      <w:r>
        <w:t/>
      </w:r>
    </w:p>
    <w:p>
      <w:pPr>
        <w:pStyle w:val="Para 12"/>
      </w:pPr>
      <w:r>
        <w:t xml:space="preserve">Choosing a Scripting Language </w:t>
      </w:r>
    </w:p>
    <w:p>
      <w:pPr>
        <w:pStyle w:val="Para 25"/>
      </w:pPr>
      <w:r>
        <w:t/>
      </w:r>
    </w:p>
    <w:p>
      <w:pPr>
        <w:pStyle w:val="Normal"/>
      </w:pPr>
      <w:r>
        <w:t xml:space="preserve">There are many scripting languages available, and everyone has a preference. Like those that love Linux, Macintosh, or Windows, people generally have a strong opinion regarding the </w:t>
      </w:r>
    </w:p>
    <w:p>
      <w:pPr>
        <w:pStyle w:val="Normal"/>
      </w:pPr>
      <w:r>
        <w:t xml:space="preserve">language they favor. Typically those administrators that learn a scripting language stick with it, </w:t>
      </w:r>
    </w:p>
    <w:p>
      <w:pPr>
        <w:pStyle w:val="Normal"/>
      </w:pPr>
      <w:r>
        <w:t xml:space="preserve">and most administrators can prove that with enough effort, most any language can be made to accomplish much the same tasks. Although one language might be easier to learn or work with </w:t>
      </w:r>
    </w:p>
    <w:p>
      <w:pPr>
        <w:pStyle w:val="Normal"/>
      </w:pPr>
      <w:r>
        <w:t xml:space="preserve">than another, completing a scripting task is really a matter of familiarity and creativity with </w:t>
      </w:r>
    </w:p>
    <w:p>
      <w:pPr>
        <w:pStyle w:val="Normal"/>
      </w:pPr>
      <w:r>
        <w:t xml:space="preserve">whichever language you choose. For each of the languages presented in this chapter, I provide a sample for how to go about writing a value to the registry in an effort to help illustrate the </w:t>
      </w:r>
    </w:p>
    <w:p>
      <w:pPr>
        <w:pStyle w:val="Normal"/>
      </w:pPr>
      <w:r>
        <w:t xml:space="preserve">complexity of each. </w:t>
      </w:r>
    </w:p>
    <w:p>
      <w:pPr>
        <w:pStyle w:val="Para 25"/>
      </w:pPr>
      <w:r>
        <w:t/>
      </w:r>
    </w:p>
    <w:p>
      <w:pPr>
        <w:pStyle w:val="Para 07"/>
      </w:pPr>
      <w:r>
        <w:t xml:space="preserve">VBScript </w:t>
      </w:r>
    </w:p>
    <w:p>
      <w:pPr>
        <w:pStyle w:val="Normal"/>
      </w:pPr>
      <w:r>
        <w:t xml:space="preserve">VBScript is among the most popular scripting languages. It is still heavily used in Web sites that </w:t>
      </w:r>
    </w:p>
    <w:p>
      <w:pPr>
        <w:pStyle w:val="Normal"/>
      </w:pPr>
      <w:r>
        <w:t xml:space="preserve">utilize Active Server Pages (ASP). With the introduction of the Windows Script Host (WSH), VBScript gained considerable exposure in the world of desktop administration. In addition, </w:t>
      </w:r>
    </w:p>
    <w:p>
      <w:pPr>
        <w:pStyle w:val="Normal"/>
      </w:pPr>
      <w:r>
        <w:t xml:space="preserve">Microsoft routinely provides script examples using VBScript. VBScript makes heavy use of </w:t>
      </w:r>
    </w:p>
    <w:p>
      <w:pPr>
        <w:pStyle w:val="Normal"/>
      </w:pPr>
      <w:r>
        <w:t xml:space="preserve">COM (which may be challenging to beginners), but there are several books and examples to help </w:t>
      </w:r>
    </w:p>
    <w:p>
      <w:pPr>
        <w:pStyle w:val="Normal"/>
      </w:pPr>
      <w:r>
        <w:t xml:space="preserve">administrators become familiar with its use. The following example shows how to write a value to the registry using VBScript: </w:t>
      </w:r>
    </w:p>
    <w:p>
      <w:pPr>
        <w:pStyle w:val="Para 25"/>
      </w:pPr>
      <w:r>
        <w:t/>
      </w:r>
    </w:p>
    <w:p>
      <w:pPr>
        <w:pStyle w:val="Para 11"/>
      </w:pPr>
      <w:r>
        <w:t xml:space="preserve">Set WSHShell = WScript.CreateObject("WScript.Shell") </w:t>
      </w:r>
    </w:p>
    <w:p>
      <w:pPr>
        <w:pStyle w:val="Para 11"/>
      </w:pPr>
      <w:r>
        <w:t xml:space="preserve">WSHShell.RegWrite "HKLM\Software\BuildInfo\BuildNumber", "1.3A" </w:t>
      </w:r>
    </w:p>
    <w:p>
      <w:pPr>
        <w:pStyle w:val="Para 25"/>
      </w:pPr>
      <w:r>
        <w:t/>
      </w:r>
    </w:p>
    <w:p>
      <w:pPr>
        <w:pStyle w:val="Para 02"/>
      </w:pPr>
      <w:r>
        <w:t xml:space="preserve">You can download VBScript from </w:t>
        <w:t>http://msdn.microsoft.com/downloads/list/webdev.asp</w:t>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13" name="index-177_1.png" descr="index-177_1.png"/>
            <wp:cNvGraphicFramePr>
              <a:graphicFrameLocks noChangeAspect="1"/>
            </wp:cNvGraphicFramePr>
            <a:graphic>
              <a:graphicData uri="http://schemas.openxmlformats.org/drawingml/2006/picture">
                <pic:pic>
                  <pic:nvPicPr>
                    <pic:cNvPr id="0" name="index-177_1.png" descr="index-177_1.png"/>
                    <pic:cNvPicPr/>
                  </pic:nvPicPr>
                  <pic:blipFill>
                    <a:blip r:embed="rId41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14" name="index-177_2.png" descr="index-177_2.png"/>
            <wp:cNvGraphicFramePr>
              <a:graphicFrameLocks noChangeAspect="1"/>
            </wp:cNvGraphicFramePr>
            <a:graphic>
              <a:graphicData uri="http://schemas.openxmlformats.org/drawingml/2006/picture">
                <pic:pic>
                  <pic:nvPicPr>
                    <pic:cNvPr id="0" name="index-177_2.png" descr="index-177_2.png"/>
                    <pic:cNvPicPr/>
                  </pic:nvPicPr>
                  <pic:blipFill>
                    <a:blip r:embed="rId418"/>
                    <a:stretch>
                      <a:fillRect/>
                    </a:stretch>
                  </pic:blipFill>
                  <pic:spPr>
                    <a:xfrm>
                      <a:off x="0" y="0"/>
                      <a:ext cx="914400" cy="444500"/>
                    </a:xfrm>
                    <a:prstGeom prst="rect">
                      <a:avLst/>
                    </a:prstGeom>
                  </pic:spPr>
                </pic:pic>
              </a:graphicData>
            </a:graphic>
          </wp:anchor>
        </w:drawing>
      </w:r>
    </w:p>
    <w:p>
      <w:pPr>
        <w:pStyle w:val="0 Block"/>
      </w:pPr>
    </w:p>
    <w:p>
      <w:bookmarkStart w:id="186" w:name="Chapter_7_4"/>
      <w:pPr>
        <w:pStyle w:val="Heading 1"/>
        <w:pageBreakBefore w:val="on"/>
      </w:pPr>
      <w:r>
        <w:t>Chapter 7</w:t>
      </w:r>
      <w:bookmarkEnd w:id="186"/>
    </w:p>
    <w:p>
      <w:pPr>
        <w:pStyle w:val="Para 25"/>
      </w:pPr>
      <w:r>
        <w:t/>
      </w:r>
    </w:p>
    <w:p>
      <w:pPr>
        <w:pStyle w:val="Para 07"/>
      </w:pPr>
      <w:r>
        <w:t xml:space="preserve">KiXtart </w:t>
      </w:r>
    </w:p>
    <w:p>
      <w:pPr>
        <w:pStyle w:val="Normal"/>
      </w:pPr>
      <w:r>
        <w:t xml:space="preserve">KiXtart was originally developed as a logon script processor. However, with each release, it </w:t>
      </w:r>
    </w:p>
    <w:p>
      <w:pPr>
        <w:pStyle w:val="Normal"/>
      </w:pPr>
      <w:r>
        <w:t xml:space="preserve">offers more robust support, making it useful in most any situation. In addition to full COM </w:t>
      </w:r>
    </w:p>
    <w:p>
      <w:pPr>
        <w:pStyle w:val="Normal"/>
      </w:pPr>
      <w:r>
        <w:t xml:space="preserve">support, KiXtart provides a number of built-in functions and variables that greatly simplify the </w:t>
      </w:r>
    </w:p>
    <w:p>
      <w:pPr>
        <w:pStyle w:val="Normal"/>
      </w:pPr>
      <w:r>
        <w:t xml:space="preserve">scripting process when compared with performing those same actions using COM. Additionally, only the KiXtart executable is required (locally or on a network share) to execute KiXtart scripts </w:t>
      </w:r>
    </w:p>
    <w:p>
      <w:pPr>
        <w:pStyle w:val="Normal"/>
      </w:pPr>
      <w:r>
        <w:t xml:space="preserve">in NT and later environments. KiXtart provides full support for Windows 9x as well (it requires </w:t>
      </w:r>
    </w:p>
    <w:p>
      <w:pPr>
        <w:pStyle w:val="Normal"/>
      </w:pPr>
      <w:r>
        <w:t xml:space="preserve">a service to be run on one or more network servers in order to provide certain functionality). Its power, ease of use, and support for all versions of Windows make it very popular among </w:t>
      </w:r>
    </w:p>
    <w:p>
      <w:pPr>
        <w:pStyle w:val="Normal"/>
      </w:pPr>
      <w:r>
        <w:t xml:space="preserve">administrators. The following example shows how to write a value to the registry using KiXtart: </w:t>
      </w:r>
    </w:p>
    <w:p>
      <w:pPr>
        <w:pStyle w:val="Para 25"/>
      </w:pPr>
      <w:r>
        <w:t/>
      </w:r>
    </w:p>
    <w:p>
      <w:pPr>
        <w:pStyle w:val="Para 11"/>
      </w:pPr>
      <w:r>
        <w:t xml:space="preserve">$rc = WriteValue (“HKLM\Software\BuildInfo”, ”BuildNumber”, </w:t>
        <w:t xml:space="preserve">”1.3A”, ”REG_SZ”) </w:t>
      </w:r>
    </w:p>
    <w:p>
      <w:pPr>
        <w:pStyle w:val="Para 25"/>
      </w:pPr>
      <w:r>
        <w:t/>
      </w:r>
    </w:p>
    <w:p>
      <w:pPr>
        <w:pStyle w:val="Para 02"/>
      </w:pPr>
      <w:r>
        <w:t xml:space="preserve">KiXtart is available for download from several KiXtart-dedicated sites, including </w:t>
      </w:r>
    </w:p>
    <w:p>
      <w:pPr>
        <w:pStyle w:val="Para 02"/>
      </w:pPr>
      <w:r>
        <w:t>http://scriptlogic.com/kixtart</w:t>
        <w:t xml:space="preserve">, </w:t>
        <w:t>http://www.kixscripts.com</w:t>
        <w:t xml:space="preserve">, and </w:t>
        <w:t>http://www.kixtart.org</w:t>
        <w:t xml:space="preserve">. </w:t>
      </w:r>
    </w:p>
    <w:p>
      <w:pPr>
        <w:pStyle w:val="Para 25"/>
      </w:pPr>
      <w:r>
        <w:t/>
      </w:r>
    </w:p>
    <w:p>
      <w:pPr>
        <w:pStyle w:val="Para 19"/>
      </w:pPr>
      <w:r>
        <w:t xml:space="preserve">KiXtart Script Examples </w:t>
      </w:r>
    </w:p>
    <w:p>
      <w:pPr>
        <w:pStyle w:val="Para 03"/>
      </w:pPr>
      <w:r>
        <w:t xml:space="preserve">As a result of its ease of use and robust capabilities, I have chosen KiXtart as the language to be used in </w:t>
        <w:t xml:space="preserve">script examples for this book. I did so for those not familiar with scripting, as KiXtart is an easy language </w:t>
        <w:t xml:space="preserve">to read and will help everyone more easily follow the examples provided. When it comes to administrative </w:t>
        <w:t xml:space="preserve">scripting, KiXtart is simple—especially when compared with most other languages. For those familiar with </w:t>
        <w:t>COM scripting, KiXtart provides a (COM) support—which will be familiar to those that know VBScript—</w:t>
      </w:r>
      <w:r>
        <w:rPr>
          <w:rStyle w:val="Text2"/>
        </w:rPr>
        <w:t xml:space="preserve"> </w:t>
      </w:r>
      <w:r>
        <w:t xml:space="preserve">with its CreateObject and GetObject functions. </w:t>
      </w:r>
    </w:p>
    <w:p>
      <w:pPr>
        <w:pStyle w:val="Para 03"/>
      </w:pPr>
      <w:r>
        <w:t xml:space="preserve">KiXtart scripts are simple text files that you can write using any simple text or script editor. To run a </w:t>
        <w:t xml:space="preserve">KiXtart script, simply use your script file as a parameter when calling the KiXtart script processor </w:t>
        <w:t xml:space="preserve">(KIX32.EXE or wKIX32.exe) as the following line shows: </w:t>
      </w:r>
    </w:p>
    <w:p>
      <w:pPr>
        <w:pStyle w:val="Para 25"/>
      </w:pPr>
      <w:r>
        <w:t/>
      </w:r>
    </w:p>
    <w:p>
      <w:pPr>
        <w:pStyle w:val="Para 03"/>
      </w:pPr>
      <w:r>
        <w:t xml:space="preserve">KIX32.EXE MyScript.kix </w:t>
      </w:r>
    </w:p>
    <w:p>
      <w:pPr>
        <w:pStyle w:val="Para 03"/>
      </w:pPr>
      <w:r>
        <w:t xml:space="preserve">The KiXtart script processor may be called from a local or network location. Although the extension used </w:t>
        <w:t xml:space="preserve">is of no consequence, the .kix extension is typically used to identify KiXtart scripts. On Windows 9x </w:t>
        <w:t xml:space="preserve">clients, certain functionality is available only by installing the KiXtart RPC service on a network server. For </w:t>
        <w:t xml:space="preserve">more information, see the documentation included with KiXtart. </w:t>
      </w:r>
    </w:p>
    <w:p>
      <w:pPr>
        <w:pStyle w:val="Para 25"/>
      </w:pPr>
      <w:r>
        <w:t/>
      </w:r>
    </w:p>
    <w:p>
      <w:pPr>
        <w:pStyle w:val="Para 07"/>
      </w:pPr>
      <w:r>
        <w:t xml:space="preserve">JScript </w:t>
      </w:r>
    </w:p>
    <w:p>
      <w:pPr>
        <w:pStyle w:val="Normal"/>
      </w:pPr>
      <w:r>
        <w:t xml:space="preserve">JScript (Java Script) provides similar capabilities to that of VBScript but with different formatting rules and built-in commands. JScript is Microsoft’s implementation of JavaScript and </w:t>
      </w:r>
    </w:p>
    <w:p>
      <w:pPr>
        <w:pStyle w:val="Normal"/>
      </w:pPr>
      <w:r>
        <w:t xml:space="preserve">is available as part of the Microsoft Windows Script. JScript relies heavily on COM. The </w:t>
      </w:r>
    </w:p>
    <w:p>
      <w:pPr>
        <w:pStyle w:val="Normal"/>
      </w:pPr>
      <w:r>
        <w:t xml:space="preserve">following example shows how to write a value to the registry using Jscript: </w:t>
      </w:r>
    </w:p>
    <w:p>
      <w:pPr>
        <w:pStyle w:val="Para 25"/>
      </w:pPr>
      <w:r>
        <w:t/>
      </w:r>
    </w:p>
    <w:p>
      <w:pPr>
        <w:pStyle w:val="Para 11"/>
      </w:pPr>
      <w:r>
        <w:t xml:space="preserve">sh = new ActiveXObject("WScript.Shell"); </w:t>
      </w:r>
    </w:p>
    <w:p>
      <w:pPr>
        <w:pStyle w:val="Para 11"/>
      </w:pPr>
      <w:r>
        <w:t xml:space="preserve">sh.RegWrite ("HKLM\\Software\\BuildInfo\\BuildNumber", "1.4A"); </w:t>
      </w:r>
    </w:p>
    <w:p>
      <w:pPr>
        <w:pStyle w:val="Para 25"/>
      </w:pPr>
      <w:r>
        <w:t/>
      </w:r>
    </w:p>
    <w:p>
      <w:pPr>
        <w:pStyle w:val="Para 02"/>
      </w:pPr>
      <w:r>
        <w:t xml:space="preserve">JScript is available as part of the Microsoft Windows Script at </w:t>
      </w:r>
    </w:p>
    <w:p>
      <w:pPr>
        <w:pStyle w:val="Para 02"/>
      </w:pPr>
      <w:r>
        <w:t>http://msdn.microsoft.com/downloads/list/webdev.asp</w:t>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15" name="index-178_1.png" descr="index-178_1.png"/>
            <wp:cNvGraphicFramePr>
              <a:graphicFrameLocks noChangeAspect="1"/>
            </wp:cNvGraphicFramePr>
            <a:graphic>
              <a:graphicData uri="http://schemas.openxmlformats.org/drawingml/2006/picture">
                <pic:pic>
                  <pic:nvPicPr>
                    <pic:cNvPr id="0" name="index-178_1.png" descr="index-178_1.png"/>
                    <pic:cNvPicPr/>
                  </pic:nvPicPr>
                  <pic:blipFill>
                    <a:blip r:embed="rId41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16" name="index-178_2.png" descr="index-178_2.png"/>
            <wp:cNvGraphicFramePr>
              <a:graphicFrameLocks noChangeAspect="1"/>
            </wp:cNvGraphicFramePr>
            <a:graphic>
              <a:graphicData uri="http://schemas.openxmlformats.org/drawingml/2006/picture">
                <pic:pic>
                  <pic:nvPicPr>
                    <pic:cNvPr id="0" name="index-178_2.png" descr="index-178_2.png"/>
                    <pic:cNvPicPr/>
                  </pic:nvPicPr>
                  <pic:blipFill>
                    <a:blip r:embed="rId420"/>
                    <a:stretch>
                      <a:fillRect/>
                    </a:stretch>
                  </pic:blipFill>
                  <pic:spPr>
                    <a:xfrm>
                      <a:off x="0" y="0"/>
                      <a:ext cx="914400" cy="444500"/>
                    </a:xfrm>
                    <a:prstGeom prst="rect">
                      <a:avLst/>
                    </a:prstGeom>
                  </pic:spPr>
                </pic:pic>
              </a:graphicData>
            </a:graphic>
          </wp:anchor>
        </w:drawing>
      </w:r>
    </w:p>
    <w:p>
      <w:pPr>
        <w:pStyle w:val="0 Block"/>
      </w:pPr>
    </w:p>
    <w:p>
      <w:bookmarkStart w:id="187" w:name="Chapter_7_5"/>
      <w:pPr>
        <w:pStyle w:val="Heading 1"/>
        <w:pageBreakBefore w:val="on"/>
      </w:pPr>
      <w:r>
        <w:t>Chapter 7</w:t>
      </w:r>
      <w:bookmarkEnd w:id="187"/>
    </w:p>
    <w:p>
      <w:pPr>
        <w:pStyle w:val="Para 25"/>
      </w:pPr>
      <w:r>
        <w:t/>
      </w:r>
    </w:p>
    <w:p>
      <w:pPr>
        <w:pStyle w:val="Para 07"/>
      </w:pPr>
      <w:r>
        <w:t xml:space="preserve">WinBatch </w:t>
      </w:r>
    </w:p>
    <w:p>
      <w:pPr>
        <w:pStyle w:val="Normal"/>
      </w:pPr>
      <w:r>
        <w:t xml:space="preserve">Like KiXtart, WinBatch is a script language that gets a lot of attention for its ease of use. It is a </w:t>
      </w:r>
    </w:p>
    <w:p>
      <w:pPr>
        <w:pStyle w:val="Normal"/>
      </w:pPr>
      <w:r>
        <w:t xml:space="preserve">powerful and fairly easy-to-learn language that has a dedicated following. WinBatch is not free, </w:t>
      </w:r>
    </w:p>
    <w:p>
      <w:pPr>
        <w:pStyle w:val="Normal"/>
      </w:pPr>
      <w:r>
        <w:t xml:space="preserve">but a 30-day evaluation copy is available for download. Also available for WinBatch is a </w:t>
      </w:r>
    </w:p>
    <w:p>
      <w:pPr>
        <w:pStyle w:val="Normal"/>
      </w:pPr>
      <w:r>
        <w:t xml:space="preserve">compiler that allows you to create freely distributable EXE files. The following example shows how to write a value to the registry using WinBatch: </w:t>
      </w:r>
    </w:p>
    <w:p>
      <w:pPr>
        <w:pStyle w:val="Para 25"/>
      </w:pPr>
      <w:r>
        <w:t/>
      </w:r>
    </w:p>
    <w:p>
      <w:pPr>
        <w:pStyle w:val="Para 11"/>
      </w:pPr>
      <w:r>
        <w:t xml:space="preserve">RegSetValue (@REGMACHINE, "Software\BuildInfo\[BuildNumber]", </w:t>
        <w:t xml:space="preserve">"1.3A") </w:t>
      </w:r>
    </w:p>
    <w:p>
      <w:pPr>
        <w:pStyle w:val="Para 25"/>
      </w:pPr>
      <w:r>
        <w:t/>
      </w:r>
    </w:p>
    <w:p>
      <w:pPr>
        <w:pStyle w:val="Para 02"/>
      </w:pPr>
      <w:r>
        <w:t xml:space="preserve">WinBatch is available for download at </w:t>
        <w:t>http://www.winbatch.com</w:t>
        <w:t xml:space="preserve">. </w:t>
      </w:r>
    </w:p>
    <w:p>
      <w:pPr>
        <w:pStyle w:val="Para 25"/>
      </w:pPr>
      <w:r>
        <w:t/>
      </w:r>
    </w:p>
    <w:p>
      <w:pPr>
        <w:pStyle w:val="Para 07"/>
      </w:pPr>
      <w:r>
        <w:t xml:space="preserve">PerlScript </w:t>
      </w:r>
    </w:p>
    <w:p>
      <w:pPr>
        <w:pStyle w:val="Normal"/>
      </w:pPr>
      <w:r>
        <w:t xml:space="preserve">PerlScript (available within the free ActivePerl) is typically a language used by those already very familiar with Perl. It is a fairly complex scripting language and is not recommended for </w:t>
      </w:r>
    </w:p>
    <w:p>
      <w:pPr>
        <w:pStyle w:val="Normal"/>
      </w:pPr>
      <w:r>
        <w:t xml:space="preserve">those that do not already have a strong background in Perl. Although not necessarily a benefit </w:t>
      </w:r>
    </w:p>
    <w:p>
      <w:pPr>
        <w:pStyle w:val="Normal"/>
      </w:pPr>
      <w:r>
        <w:t xml:space="preserve">when it comes to administrative scripting, ActivePerl is provided for Linux and Solaris as well as Windows. Although the development tools provided are not free, the ActivePerl distribution is. </w:t>
      </w:r>
    </w:p>
    <w:p>
      <w:pPr>
        <w:pStyle w:val="Normal"/>
      </w:pPr>
      <w:r>
        <w:t xml:space="preserve">The following example shows you how to write a value to the registry using PerlScript: </w:t>
      </w:r>
    </w:p>
    <w:p>
      <w:pPr>
        <w:pStyle w:val="Para 25"/>
      </w:pPr>
      <w:r>
        <w:t/>
      </w:r>
    </w:p>
    <w:p>
      <w:pPr>
        <w:pStyle w:val="Para 11"/>
      </w:pPr>
      <w:r>
        <w:t xml:space="preserve">use Win32::Registry; </w:t>
      </w:r>
    </w:p>
    <w:p>
      <w:pPr>
        <w:pStyle w:val="Para 11"/>
      </w:pPr>
      <w:r>
        <w:t xml:space="preserve">if ($HKEY_LOCAL_MACHINE-&gt;Create("SOFTWARE\\BuildInfo",$Key)) </w:t>
      </w:r>
    </w:p>
    <w:p>
      <w:pPr>
        <w:pStyle w:val="Para 11"/>
      </w:pPr>
      <w:r>
        <w:t xml:space="preserve">{ </w:t>
      </w:r>
    </w:p>
    <w:p>
      <w:pPr>
        <w:pStyle w:val="Para 15"/>
      </w:pPr>
      <w:r>
        <w:t xml:space="preserve">$Key-&gt;SetValueEx("BuildNumber", 0, REG_SZ,"1.3A"); </w:t>
      </w:r>
    </w:p>
    <w:p>
      <w:pPr>
        <w:pStyle w:val="Para 11"/>
      </w:pPr>
      <w:r>
        <w:t xml:space="preserve"> $Key-&gt;Close(); </w:t>
      </w:r>
    </w:p>
    <w:p>
      <w:pPr>
        <w:pStyle w:val="Para 11"/>
      </w:pPr>
      <w:r>
        <w:t xml:space="preserve">} </w:t>
      </w:r>
    </w:p>
    <w:p>
      <w:pPr>
        <w:pStyle w:val="Para 25"/>
      </w:pPr>
      <w:r>
        <w:t/>
      </w:r>
    </w:p>
    <w:p>
      <w:pPr>
        <w:pStyle w:val="Para 02"/>
      </w:pPr>
      <w:r>
        <w:t xml:space="preserve">ActivePerl for Windows is available for download at </w:t>
        <w:t>http://www.activestate.com/Products/ActivePerl</w:t>
        <w:t xml:space="preserve">. </w:t>
      </w:r>
    </w:p>
    <w:p>
      <w:pPr>
        <w:pStyle w:val="Para 25"/>
      </w:pPr>
      <w:r>
        <w:t/>
      </w:r>
    </w:p>
    <w:p>
      <w:pPr>
        <w:pStyle w:val="Para 09"/>
      </w:pPr>
      <w:r>
        <w:t xml:space="preserve">Shell Scripting </w:t>
      </w:r>
    </w:p>
    <w:p>
      <w:pPr>
        <w:pStyle w:val="Normal"/>
      </w:pPr>
      <w:r>
        <w:t xml:space="preserve">Most network administrators are familiar with shell scripting, commonly known as batch files. This widely used scripting language is often combined with other scripting languages. Although </w:t>
      </w:r>
    </w:p>
    <w:p>
      <w:pPr>
        <w:pStyle w:val="Normal"/>
      </w:pPr>
      <w:r>
        <w:t xml:space="preserve">shell scripting has the most limited command set of the scripting languages, when used with </w:t>
      </w:r>
    </w:p>
    <w:p>
      <w:pPr>
        <w:pStyle w:val="Normal"/>
      </w:pPr>
      <w:r>
        <w:t xml:space="preserve">other command-line tools (such as those from the Windows resource kits), shell scripting can be quite effective. To use shell scripting to write a value to the registry, you must call an external </w:t>
      </w:r>
    </w:p>
    <w:p>
      <w:pPr>
        <w:pStyle w:val="Normal"/>
      </w:pPr>
      <w:r>
        <w:t xml:space="preserve">command-line utility.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17" name="index-179_1.png" descr="index-179_1.png"/>
            <wp:cNvGraphicFramePr>
              <a:graphicFrameLocks noChangeAspect="1"/>
            </wp:cNvGraphicFramePr>
            <a:graphic>
              <a:graphicData uri="http://schemas.openxmlformats.org/drawingml/2006/picture">
                <pic:pic>
                  <pic:nvPicPr>
                    <pic:cNvPr id="0" name="index-179_1.png" descr="index-179_1.png"/>
                    <pic:cNvPicPr/>
                  </pic:nvPicPr>
                  <pic:blipFill>
                    <a:blip r:embed="rId42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18" name="index-179_2.png" descr="index-179_2.png"/>
            <wp:cNvGraphicFramePr>
              <a:graphicFrameLocks noChangeAspect="1"/>
            </wp:cNvGraphicFramePr>
            <a:graphic>
              <a:graphicData uri="http://schemas.openxmlformats.org/drawingml/2006/picture">
                <pic:pic>
                  <pic:nvPicPr>
                    <pic:cNvPr id="0" name="index-179_2.png" descr="index-179_2.png"/>
                    <pic:cNvPicPr/>
                  </pic:nvPicPr>
                  <pic:blipFill>
                    <a:blip r:embed="rId422"/>
                    <a:stretch>
                      <a:fillRect/>
                    </a:stretch>
                  </pic:blipFill>
                  <pic:spPr>
                    <a:xfrm>
                      <a:off x="0" y="0"/>
                      <a:ext cx="914400" cy="444500"/>
                    </a:xfrm>
                    <a:prstGeom prst="rect">
                      <a:avLst/>
                    </a:prstGeom>
                  </pic:spPr>
                </pic:pic>
              </a:graphicData>
            </a:graphic>
          </wp:anchor>
        </w:drawing>
      </w:r>
    </w:p>
    <w:p>
      <w:pPr>
        <w:pStyle w:val="0 Block"/>
      </w:pPr>
    </w:p>
    <w:p>
      <w:bookmarkStart w:id="188" w:name="Chapter_7_6"/>
      <w:pPr>
        <w:pStyle w:val="Heading 1"/>
        <w:pageBreakBefore w:val="on"/>
      </w:pPr>
      <w:r>
        <w:t>Chapter 7</w:t>
      </w:r>
      <w:bookmarkEnd w:id="188"/>
    </w:p>
    <w:p>
      <w:pPr>
        <w:pStyle w:val="Para 25"/>
      </w:pPr>
      <w:r>
        <w:t/>
      </w:r>
    </w:p>
    <w:p>
      <w:pPr>
        <w:pStyle w:val="Para 12"/>
      </w:pPr>
      <w:r>
        <w:t xml:space="preserve">COM Automation </w:t>
      </w:r>
    </w:p>
    <w:p>
      <w:pPr>
        <w:pStyle w:val="Para 25"/>
      </w:pPr>
      <w:r>
        <w:t/>
      </w:r>
    </w:p>
    <w:p>
      <w:pPr>
        <w:pStyle w:val="Normal"/>
      </w:pPr>
      <w:r>
        <w:t xml:space="preserve">Although the scripting language you choose will provide varying degrees of control over the </w:t>
      </w:r>
    </w:p>
    <w:p>
      <w:pPr>
        <w:pStyle w:val="Normal"/>
      </w:pPr>
      <w:r>
        <w:t xml:space="preserve">functions you desire, most everything else can be handled via COM. COM provides the ability to </w:t>
      </w:r>
    </w:p>
    <w:p>
      <w:pPr>
        <w:pStyle w:val="Normal"/>
      </w:pPr>
      <w:r>
        <w:t xml:space="preserve">share reusable code between vendors’ applications as well as to expose certain functionality to other applications and scripts. Without getting too detailed about how COM works and because </w:t>
      </w:r>
    </w:p>
    <w:p>
      <w:pPr>
        <w:pStyle w:val="Normal"/>
      </w:pPr>
      <w:r>
        <w:t xml:space="preserve">access to COM objects differs slightly from language to language, we will briefly cover a few </w:t>
      </w:r>
    </w:p>
    <w:p>
      <w:pPr>
        <w:pStyle w:val="Normal"/>
      </w:pPr>
      <w:r>
        <w:t xml:space="preserve">COM objects that are commonly used in scripting. </w:t>
      </w:r>
    </w:p>
    <w:p>
      <w:pPr>
        <w:pStyle w:val="Para 25"/>
      </w:pPr>
      <w:r>
        <w:t/>
      </w:r>
    </w:p>
    <w:p>
      <w:pPr>
        <w:pStyle w:val="Para 02"/>
      </w:pPr>
      <w:r>
        <w:t>For more information about COM, visit http://msdn.microsoft.com/library/default.asp?url=/library/en-</w:t>
      </w:r>
    </w:p>
    <w:p>
      <w:pPr>
        <w:pStyle w:val="Para 02"/>
      </w:pPr>
      <w:r>
        <w:t xml:space="preserve">us/com/htm/com_757w.asp. </w:t>
      </w:r>
    </w:p>
    <w:p>
      <w:pPr>
        <w:pStyle w:val="Para 25"/>
      </w:pPr>
      <w:r>
        <w:t/>
      </w:r>
    </w:p>
    <w:p>
      <w:pPr>
        <w:pStyle w:val="Para 07"/>
      </w:pPr>
      <w:r>
        <w:t xml:space="preserve">WMI </w:t>
      </w:r>
    </w:p>
    <w:p>
      <w:pPr>
        <w:pStyle w:val="Normal"/>
      </w:pPr>
      <w:r>
        <w:t xml:space="preserve">WMI is Microsoft’s implementation of Web-Based Enterprise Management (WBEM). WBEM establishes an architecture for supporting network enterprise management. WMI provides the </w:t>
      </w:r>
    </w:p>
    <w:p>
      <w:pPr>
        <w:pStyle w:val="Normal"/>
      </w:pPr>
      <w:r>
        <w:t xml:space="preserve">ability to gather a great deal of information about a computer including installed software, </w:t>
      </w:r>
    </w:p>
    <w:p>
      <w:pPr>
        <w:pStyle w:val="Normal"/>
      </w:pPr>
      <w:r>
        <w:t xml:space="preserve">peripherals, and other system details. WMI does not (at least very well) access information stored in AD. </w:t>
      </w:r>
    </w:p>
    <w:p>
      <w:pPr>
        <w:pStyle w:val="Para 25"/>
      </w:pPr>
      <w:r>
        <w:t/>
      </w:r>
    </w:p>
    <w:p>
      <w:pPr>
        <w:pStyle w:val="Para 14"/>
      </w:pPr>
      <w:r>
        <w:t xml:space="preserve"> If you like to learn by example, check out Microsoft’s clever Scriptomatic. This tool generates </w:t>
      </w:r>
    </w:p>
    <w:p>
      <w:pPr>
        <w:pStyle w:val="Para 02"/>
      </w:pPr>
      <w:r>
        <w:t xml:space="preserve">VBScript samples for a chosen class of WMI data. The Scriptomatic tool is available at </w:t>
      </w:r>
    </w:p>
    <w:p>
      <w:pPr>
        <w:pStyle w:val="Para 02"/>
      </w:pPr>
      <w:r>
        <w:t xml:space="preserve">http://www.microsoft.com/technet/scriptcenter/WMImatic.asp. The PrimalScript script editor available </w:t>
      </w:r>
    </w:p>
    <w:p>
      <w:pPr>
        <w:pStyle w:val="Para 02"/>
      </w:pPr>
      <w:r>
        <w:t xml:space="preserve">at http://www.sapien.com provides a similar capability through its WMI script wizard feature. </w:t>
      </w:r>
    </w:p>
    <w:p>
      <w:pPr>
        <w:pStyle w:val="Para 25"/>
      </w:pPr>
      <w:r>
        <w:t/>
      </w:r>
    </w:p>
    <w:p>
      <w:pPr>
        <w:pStyle w:val="Para 02"/>
      </w:pPr>
      <w:r>
        <w:t xml:space="preserve">Check out the following sites for more information about WMI: </w:t>
      </w:r>
    </w:p>
    <w:p>
      <w:pPr>
        <w:pStyle w:val="Para 02"/>
      </w:pPr>
      <w:r>
        <w:t xml:space="preserve">WMI Tutorial at </w:t>
        <w:t>http://www.microsoft.com/downloads/release.asp?releaseid=12570</w:t>
      </w:r>
    </w:p>
    <w:p>
      <w:pPr>
        <w:pStyle w:val="Para 02"/>
      </w:pPr>
      <w:r>
        <w:t xml:space="preserve">WMI Scripting Primer at </w:t>
        <w:t>http://msdn.microsoft.com/library/en-us/dnclinic/html/scripting06112002.asp</w:t>
      </w:r>
    </w:p>
    <w:p>
      <w:pPr>
        <w:pStyle w:val="Para 02"/>
      </w:pPr>
      <w:r>
        <w:t xml:space="preserve">Microsoft WMI Scripting home at http://msdn.microsoft.com/library/en-us/dnwmi/html/wmiscript.asp </w:t>
      </w:r>
    </w:p>
    <w:p>
      <w:pPr>
        <w:pStyle w:val="Para 25"/>
      </w:pPr>
      <w:r>
        <w:t/>
      </w:r>
    </w:p>
    <w:p>
      <w:pPr>
        <w:pStyle w:val="Para 07"/>
      </w:pPr>
      <w:r>
        <w:t xml:space="preserve">Active Directory Service Interfaces </w:t>
      </w:r>
    </w:p>
    <w:p>
      <w:pPr>
        <w:pStyle w:val="Normal"/>
      </w:pPr>
      <w:r>
        <w:t xml:space="preserve">Active Directory Service Interfaces (ADSI) is a set of ActiveX controls (COM objects) that </w:t>
      </w:r>
    </w:p>
    <w:p>
      <w:pPr>
        <w:pStyle w:val="Normal"/>
      </w:pPr>
      <w:r>
        <w:t xml:space="preserve">present the capabilities of directory services from different network providers as a single set of directory service interfaces. You can use ADSI to manage network resources in a directory </w:t>
      </w:r>
    </w:p>
    <w:p>
      <w:pPr>
        <w:pStyle w:val="Normal"/>
      </w:pPr>
      <w:r>
        <w:t xml:space="preserve">service regardless of which network environment contains the resource. </w:t>
      </w:r>
    </w:p>
    <w:p>
      <w:pPr>
        <w:pStyle w:val="Para 25"/>
      </w:pPr>
      <w:r>
        <w:t/>
      </w:r>
    </w:p>
    <w:p>
      <w:pPr>
        <w:pStyle w:val="Para 07"/>
      </w:pPr>
      <w:r>
        <w:t xml:space="preserve">WSH </w:t>
      </w:r>
    </w:p>
    <w:p>
      <w:pPr>
        <w:pStyle w:val="Normal"/>
      </w:pPr>
      <w:r>
        <w:t xml:space="preserve">Many people perceive WSH as a scripting language. WSH actually allows Windows systems to </w:t>
      </w:r>
    </w:p>
    <w:p>
      <w:pPr>
        <w:pStyle w:val="Normal"/>
      </w:pPr>
      <w:r>
        <w:t xml:space="preserve">execute VBScript and JScript scripts. Additionally, WSH provides a set of components that expose functions helpful to scripting. You can take advantage of WSH using any language that </w:t>
      </w:r>
    </w:p>
    <w:p>
      <w:pPr>
        <w:pStyle w:val="Normal"/>
      </w:pPr>
      <w:r>
        <w:t xml:space="preserve">supports COM automation.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19" name="index-180_1.png" descr="index-180_1.png"/>
            <wp:cNvGraphicFramePr>
              <a:graphicFrameLocks noChangeAspect="1"/>
            </wp:cNvGraphicFramePr>
            <a:graphic>
              <a:graphicData uri="http://schemas.openxmlformats.org/drawingml/2006/picture">
                <pic:pic>
                  <pic:nvPicPr>
                    <pic:cNvPr id="0" name="index-180_1.png" descr="index-180_1.png"/>
                    <pic:cNvPicPr/>
                  </pic:nvPicPr>
                  <pic:blipFill>
                    <a:blip r:embed="rId42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20" name="index-180_2.png" descr="index-180_2.png"/>
            <wp:cNvGraphicFramePr>
              <a:graphicFrameLocks noChangeAspect="1"/>
            </wp:cNvGraphicFramePr>
            <a:graphic>
              <a:graphicData uri="http://schemas.openxmlformats.org/drawingml/2006/picture">
                <pic:pic>
                  <pic:nvPicPr>
                    <pic:cNvPr id="0" name="index-180_2.png" descr="index-180_2.png"/>
                    <pic:cNvPicPr/>
                  </pic:nvPicPr>
                  <pic:blipFill>
                    <a:blip r:embed="rId424"/>
                    <a:stretch>
                      <a:fillRect/>
                    </a:stretch>
                  </pic:blipFill>
                  <pic:spPr>
                    <a:xfrm>
                      <a:off x="0" y="0"/>
                      <a:ext cx="914400" cy="444500"/>
                    </a:xfrm>
                    <a:prstGeom prst="rect">
                      <a:avLst/>
                    </a:prstGeom>
                  </pic:spPr>
                </pic:pic>
              </a:graphicData>
            </a:graphic>
          </wp:anchor>
        </w:drawing>
      </w:r>
    </w:p>
    <w:p>
      <w:pPr>
        <w:pStyle w:val="0 Block"/>
      </w:pPr>
    </w:p>
    <w:p>
      <w:bookmarkStart w:id="189" w:name="Chapter_7_7"/>
      <w:pPr>
        <w:pStyle w:val="Heading 1"/>
        <w:pageBreakBefore w:val="on"/>
      </w:pPr>
      <w:r>
        <w:t>Chapter 7</w:t>
      </w:r>
      <w:bookmarkEnd w:id="189"/>
    </w:p>
    <w:p>
      <w:pPr>
        <w:pStyle w:val="Para 25"/>
      </w:pPr>
      <w:r>
        <w:t/>
      </w:r>
    </w:p>
    <w:p>
      <w:pPr>
        <w:pStyle w:val="Para 02"/>
      </w:pPr>
      <w:r>
        <w:t xml:space="preserve">WSH is built-in to Microsoft Windows 98, Windows ME, and Win2K and later editions. For support for </w:t>
      </w:r>
    </w:p>
    <w:p>
      <w:pPr>
        <w:pStyle w:val="Para 02"/>
      </w:pPr>
      <w:r>
        <w:t xml:space="preserve">Windows 95 and NT 4.0 or to update to the latest version, visit </w:t>
        <w:t>http://msdn.microsoft.com/scripting</w:t>
        <w:t xml:space="preserve">. </w:t>
      </w:r>
    </w:p>
    <w:p>
      <w:pPr>
        <w:pStyle w:val="Para 25"/>
      </w:pPr>
      <w:r>
        <w:t/>
      </w:r>
    </w:p>
    <w:p>
      <w:pPr>
        <w:pStyle w:val="Para 07"/>
      </w:pPr>
      <w:r>
        <w:t xml:space="preserve">ActiveX Data Objects </w:t>
      </w:r>
    </w:p>
    <w:p>
      <w:pPr>
        <w:pStyle w:val="Normal"/>
      </w:pPr>
      <w:r>
        <w:t xml:space="preserve">ActiveX Data Objects (ADO) is a collection of objects that provide an API to query data. Often </w:t>
      </w:r>
    </w:p>
    <w:p>
      <w:pPr>
        <w:pStyle w:val="Normal"/>
      </w:pPr>
      <w:r>
        <w:t xml:space="preserve">used with Microsoft Access databases, ADO can also be used with different drivers and database </w:t>
      </w:r>
    </w:p>
    <w:p>
      <w:pPr>
        <w:pStyle w:val="Normal"/>
      </w:pPr>
      <w:r>
        <w:t xml:space="preserve">engines to help you extract information from MS SQL, FoxPro, Oracle, and other sources, including Microsoft Word documents. The KiXtart script that Listing 7.1 shows uses ADO to </w:t>
      </w:r>
    </w:p>
    <w:p>
      <w:pPr>
        <w:pStyle w:val="Normal"/>
      </w:pPr>
      <w:r>
        <w:t xml:space="preserve">record to an Access database the amount of free drive space on the local machine. </w:t>
      </w:r>
    </w:p>
    <w:p>
      <w:pPr>
        <w:pStyle w:val="Para 25"/>
      </w:pPr>
      <w:r>
        <w:t/>
      </w:r>
    </w:p>
    <w:p>
      <w:pPr>
        <w:pStyle w:val="Para 03"/>
      </w:pPr>
      <w:r>
        <w:t xml:space="preserve">$CNstring = "provider=microsoft.jet.oledb.4.0;data source=" + $DBpath + </w:t>
        <w:t xml:space="preserve">";persist security info=false" </w:t>
      </w:r>
    </w:p>
    <w:p>
      <w:pPr>
        <w:pStyle w:val="Para 03"/>
      </w:pPr>
      <w:r>
        <w:t xml:space="preserve">$CMDtxt = "select * from COMPUTERS where computername = '" + @WKSTA + </w:t>
        <w:t xml:space="preserve">"'" </w:t>
      </w:r>
    </w:p>
    <w:p>
      <w:pPr>
        <w:pStyle w:val="Para 03"/>
      </w:pPr>
      <w:r>
        <w:t xml:space="preserve">$cn = CreateObject ("ADODB.Connection") </w:t>
      </w:r>
    </w:p>
    <w:p>
      <w:pPr>
        <w:pStyle w:val="Para 03"/>
      </w:pPr>
      <w:r>
        <w:t xml:space="preserve">$cmd = CreateObject ("ADODB.Command") </w:t>
      </w:r>
    </w:p>
    <w:p>
      <w:pPr>
        <w:pStyle w:val="Para 03"/>
      </w:pPr>
      <w:r>
        <w:t xml:space="preserve">$rs = CreateObject ("ADODB.RecordSet") </w:t>
      </w:r>
    </w:p>
    <w:p>
      <w:pPr>
        <w:pStyle w:val="Para 03"/>
      </w:pPr>
      <w:r>
        <w:t xml:space="preserve">$cn.connectionstring = $CNstring </w:t>
      </w:r>
    </w:p>
    <w:p>
      <w:pPr>
        <w:pStyle w:val="Para 03"/>
      </w:pPr>
      <w:r>
        <w:t xml:space="preserve">$cn.Open </w:t>
      </w:r>
    </w:p>
    <w:p>
      <w:pPr>
        <w:pStyle w:val="Para 03"/>
      </w:pPr>
      <w:r>
        <w:t xml:space="preserve">$cmd.activeconnection = $cn </w:t>
      </w:r>
    </w:p>
    <w:p>
      <w:pPr>
        <w:pStyle w:val="Para 03"/>
      </w:pPr>
      <w:r>
        <w:t xml:space="preserve">$rs.cursortype = 3 ; a snapshot of the recordset, not dynamic </w:t>
        <w:t xml:space="preserve">$rs.locktype = 3 ; optimistic locking, assumes it is the only source </w:t>
        <w:t xml:space="preserve">locking the record. </w:t>
      </w:r>
    </w:p>
    <w:p>
      <w:pPr>
        <w:pStyle w:val="Para 03"/>
      </w:pPr>
      <w:r>
        <w:t xml:space="preserve">$rs.activecommand = $cmd </w:t>
      </w:r>
    </w:p>
    <w:p>
      <w:pPr>
        <w:pStyle w:val="Para 03"/>
      </w:pPr>
      <w:r>
        <w:t xml:space="preserve">$cmd.commandtext = $CMDtxt $rs.Open ($cmd) </w:t>
      </w:r>
    </w:p>
    <w:p>
      <w:pPr>
        <w:pStyle w:val="Para 25"/>
      </w:pPr>
      <w:r>
        <w:t/>
      </w:r>
    </w:p>
    <w:p>
      <w:pPr>
        <w:pStyle w:val="Para 03"/>
      </w:pPr>
      <w:r>
        <w:t xml:space="preserve">$DriveSpace = GetDiskSpace( "C:\" ) </w:t>
      </w:r>
    </w:p>
    <w:p>
      <w:pPr>
        <w:pStyle w:val="Para 25"/>
      </w:pPr>
      <w:r>
        <w:t/>
      </w:r>
    </w:p>
    <w:p>
      <w:pPr>
        <w:pStyle w:val="Para 03"/>
      </w:pPr>
      <w:r>
        <w:t xml:space="preserve">If $rs.eof = -1 $rs.addnew EndIf </w:t>
      </w:r>
    </w:p>
    <w:p>
      <w:pPr>
        <w:pStyle w:val="Para 25"/>
      </w:pPr>
      <w:r>
        <w:t/>
      </w:r>
    </w:p>
    <w:p>
      <w:pPr>
        <w:pStyle w:val="Para 03"/>
      </w:pPr>
      <w:r>
        <w:t xml:space="preserve">$rs.fields.item("computername").value = @WKSTA </w:t>
        <w:t xml:space="preserve">$rs.fields.item("domain").value = @DOMAIN </w:t>
      </w:r>
    </w:p>
    <w:p>
      <w:pPr>
        <w:pStyle w:val="Para 03"/>
      </w:pPr>
      <w:r>
        <w:t xml:space="preserve">$rs.fields.item("drivespace").value = $DriveSpace </w:t>
        <w:t xml:space="preserve">$rs.update </w:t>
      </w:r>
    </w:p>
    <w:p>
      <w:pPr>
        <w:pStyle w:val="Para 25"/>
      </w:pPr>
      <w:r>
        <w:t/>
      </w:r>
    </w:p>
    <w:p>
      <w:pPr>
        <w:pStyle w:val="Para 03"/>
      </w:pPr>
      <w:r>
        <w:t xml:space="preserve">$rs.Close </w:t>
      </w:r>
    </w:p>
    <w:p>
      <w:pPr>
        <w:pStyle w:val="Para 03"/>
      </w:pPr>
      <w:r>
        <w:t xml:space="preserve">$cn.Close </w:t>
      </w:r>
    </w:p>
    <w:p>
      <w:pPr>
        <w:pStyle w:val="Para 25"/>
      </w:pPr>
      <w:r>
        <w:t/>
      </w:r>
    </w:p>
    <w:p>
      <w:pPr>
        <w:pStyle w:val="Para 10"/>
      </w:pPr>
      <w:r>
        <w:t xml:space="preserve">Listing 7.1: An example KiXtart script that uses ADO to record to an Access database the amount of free </w:t>
        <w:t xml:space="preserve">drive space on the local machine.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21" name="index-181_1.png" descr="index-181_1.png"/>
            <wp:cNvGraphicFramePr>
              <a:graphicFrameLocks noChangeAspect="1"/>
            </wp:cNvGraphicFramePr>
            <a:graphic>
              <a:graphicData uri="http://schemas.openxmlformats.org/drawingml/2006/picture">
                <pic:pic>
                  <pic:nvPicPr>
                    <pic:cNvPr id="0" name="index-181_1.png" descr="index-181_1.png"/>
                    <pic:cNvPicPr/>
                  </pic:nvPicPr>
                  <pic:blipFill>
                    <a:blip r:embed="rId42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22" name="index-181_2.png" descr="index-181_2.png"/>
            <wp:cNvGraphicFramePr>
              <a:graphicFrameLocks noChangeAspect="1"/>
            </wp:cNvGraphicFramePr>
            <a:graphic>
              <a:graphicData uri="http://schemas.openxmlformats.org/drawingml/2006/picture">
                <pic:pic>
                  <pic:nvPicPr>
                    <pic:cNvPr id="0" name="index-181_2.png" descr="index-181_2.png"/>
                    <pic:cNvPicPr/>
                  </pic:nvPicPr>
                  <pic:blipFill>
                    <a:blip r:embed="rId426"/>
                    <a:stretch>
                      <a:fillRect/>
                    </a:stretch>
                  </pic:blipFill>
                  <pic:spPr>
                    <a:xfrm>
                      <a:off x="0" y="0"/>
                      <a:ext cx="914400" cy="444500"/>
                    </a:xfrm>
                    <a:prstGeom prst="rect">
                      <a:avLst/>
                    </a:prstGeom>
                  </pic:spPr>
                </pic:pic>
              </a:graphicData>
            </a:graphic>
          </wp:anchor>
        </w:drawing>
      </w:r>
    </w:p>
    <w:p>
      <w:pPr>
        <w:pStyle w:val="0 Block"/>
      </w:pPr>
    </w:p>
    <w:p>
      <w:bookmarkStart w:id="190" w:name="Chapter_7_8"/>
      <w:pPr>
        <w:pStyle w:val="Heading 1"/>
        <w:pageBreakBefore w:val="on"/>
      </w:pPr>
      <w:r>
        <w:t>Chapter 7</w:t>
      </w:r>
      <w:bookmarkEnd w:id="190"/>
    </w:p>
    <w:p>
      <w:pPr>
        <w:pStyle w:val="Para 25"/>
      </w:pPr>
      <w:r>
        <w:t/>
      </w:r>
    </w:p>
    <w:p>
      <w:pPr>
        <w:pStyle w:val="Normal"/>
      </w:pPr>
      <w:r>
        <w:t xml:space="preserve">First, a connection string is established ($CNstring) that identifies the type, source, and security </w:t>
      </w:r>
    </w:p>
    <w:p>
      <w:pPr>
        <w:pStyle w:val="Normal"/>
      </w:pPr>
      <w:r>
        <w:t xml:space="preserve">settings for the connection to the database. The next variable, $CMDtxt, is a SQL query string </w:t>
      </w:r>
    </w:p>
    <w:p>
      <w:pPr>
        <w:pStyle w:val="Normal"/>
      </w:pPr>
      <w:r>
        <w:t xml:space="preserve">used to look for an entry in the database for the local workstation (@WKSTA is a KiXtart macro variable that stores this value). Next, we create the necessary objects and open the connection to </w:t>
      </w:r>
    </w:p>
    <w:p>
      <w:pPr>
        <w:pStyle w:val="Normal"/>
      </w:pPr>
      <w:r>
        <w:t xml:space="preserve">the database. The connection is then set as the active connection so that we make use of it. The </w:t>
      </w:r>
    </w:p>
    <w:p>
      <w:pPr>
        <w:pStyle w:val="Normal"/>
      </w:pPr>
      <w:r>
        <w:t xml:space="preserve">cursor type is set to three, which indicates a snapshot of the recordset (it is not dynamically updated), and the lock type is set to three, which indicates optimistic locking (assumes it is the </w:t>
      </w:r>
    </w:p>
    <w:p>
      <w:pPr>
        <w:pStyle w:val="Normal"/>
      </w:pPr>
      <w:r>
        <w:t xml:space="preserve">only source trying to lock the record). The SQL query is then executed, and the KiXtart </w:t>
      </w:r>
    </w:p>
    <w:p>
      <w:pPr>
        <w:pStyle w:val="Normal"/>
      </w:pPr>
      <w:r>
        <w:t xml:space="preserve">GetDiskSpace function is used to obtain the amount of free space for the C drive. If the SQL </w:t>
      </w:r>
    </w:p>
    <w:p>
      <w:pPr>
        <w:pStyle w:val="Normal"/>
      </w:pPr>
      <w:r>
        <w:t xml:space="preserve">query fails to find a record that matches this computer, $rs.eof (the end of file for the recordset) will be set to negative one. If such is the case, we use the addnew method to identify this record </w:t>
      </w:r>
    </w:p>
    <w:p>
      <w:pPr>
        <w:pStyle w:val="Normal"/>
      </w:pPr>
      <w:r>
        <w:t xml:space="preserve">as a new database record before updating the values in the database. Each value is written to the </w:t>
      </w:r>
    </w:p>
    <w:p>
      <w:pPr>
        <w:pStyle w:val="Normal"/>
      </w:pPr>
      <w:r>
        <w:t xml:space="preserve">database, and the update method is used to apply the changes to the database. Finally, the recordset and database connection is closed. </w:t>
      </w:r>
    </w:p>
    <w:p>
      <w:pPr>
        <w:pStyle w:val="Para 25"/>
      </w:pPr>
      <w:r>
        <w:t/>
      </w:r>
    </w:p>
    <w:p>
      <w:pPr>
        <w:pStyle w:val="Para 02"/>
      </w:pPr>
      <w:r>
        <w:t xml:space="preserve">One of the most common problems with the use of databases in scripts is the creation of a valid </w:t>
      </w:r>
    </w:p>
    <w:p>
      <w:pPr>
        <w:pStyle w:val="Para 02"/>
      </w:pPr>
      <w:r>
        <w:t xml:space="preserve">connection string. For details about the formatting of connection strings, see the Microsoft article </w:t>
      </w:r>
    </w:p>
    <w:p>
      <w:pPr>
        <w:pStyle w:val="Para 02"/>
      </w:pPr>
      <w:r>
        <w:t xml:space="preserve">“HOW TO: Create an ADO Connection from a Data Link File in Data Access Components” at </w:t>
      </w:r>
    </w:p>
    <w:p>
      <w:pPr>
        <w:pStyle w:val="Para 02"/>
      </w:pPr>
      <w:r>
        <w:t>http://support.microsoft.com/default.aspx?scid=kb;en-us;300261.</w:t>
      </w:r>
    </w:p>
    <w:p>
      <w:pPr>
        <w:pStyle w:val="Para 25"/>
      </w:pPr>
      <w:r>
        <w:t/>
      </w:r>
    </w:p>
    <w:p>
      <w:pPr>
        <w:pStyle w:val="Para 07"/>
      </w:pPr>
      <w:r>
        <w:t xml:space="preserve">Internet Explorer </w:t>
      </w:r>
    </w:p>
    <w:p>
      <w:pPr>
        <w:pStyle w:val="Normal"/>
      </w:pPr>
      <w:r>
        <w:t xml:space="preserve">Internet Explorer (IE) exposes many functions to COM and many environments take advantage </w:t>
      </w:r>
    </w:p>
    <w:p>
      <w:pPr>
        <w:pStyle w:val="Normal"/>
      </w:pPr>
      <w:r>
        <w:t xml:space="preserve">of the capabilities IE provides. The following two examples show how you can both automate </w:t>
      </w:r>
    </w:p>
    <w:p>
      <w:pPr>
        <w:pStyle w:val="Normal"/>
      </w:pPr>
      <w:r>
        <w:t xml:space="preserve">actions and use IE to display information about the execution of your script. </w:t>
      </w:r>
    </w:p>
    <w:p>
      <w:pPr>
        <w:pStyle w:val="Para 25"/>
      </w:pPr>
      <w:r>
        <w:t/>
      </w:r>
    </w:p>
    <w:p>
      <w:pPr>
        <w:pStyle w:val="Para 09"/>
      </w:pPr>
      <w:r>
        <w:t xml:space="preserve">Automate Actions </w:t>
      </w:r>
    </w:p>
    <w:p>
      <w:pPr>
        <w:pStyle w:val="Para 25"/>
      </w:pPr>
      <w:r>
        <w:t/>
      </w:r>
    </w:p>
    <w:p>
      <w:pPr>
        <w:pStyle w:val="Normal"/>
      </w:pPr>
      <w:r>
        <w:t xml:space="preserve">The following KiXtart script uses IE to navigate to the AppDeploy.com Web site: </w:t>
      </w:r>
    </w:p>
    <w:p>
      <w:pPr>
        <w:pStyle w:val="Para 25"/>
      </w:pPr>
      <w:r>
        <w:t/>
      </w:r>
    </w:p>
    <w:p>
      <w:pPr>
        <w:pStyle w:val="Para 11"/>
      </w:pPr>
      <w:r>
        <w:t xml:space="preserve">$ie = CreateObject ("InternetExplorer.Application") </w:t>
      </w:r>
    </w:p>
    <w:p>
      <w:pPr>
        <w:pStyle w:val="Para 11"/>
      </w:pPr>
      <w:r>
        <w:t xml:space="preserve">$ie.Visible = 1 </w:t>
      </w:r>
    </w:p>
    <w:p>
      <w:pPr>
        <w:pStyle w:val="Para 11"/>
      </w:pPr>
      <w:r>
        <w:t xml:space="preserve">$ie.navigate ("http://www.appdeploy.com") </w:t>
      </w:r>
    </w:p>
    <w:p>
      <w:pPr>
        <w:pStyle w:val="Para 25"/>
      </w:pPr>
      <w:r>
        <w:t/>
      </w:r>
    </w:p>
    <w:p>
      <w:pPr>
        <w:pStyle w:val="Normal"/>
      </w:pPr>
      <w:r>
        <w:t xml:space="preserve">First, the CreateObject function is used to create a session of the IE application in memory. As </w:t>
      </w:r>
    </w:p>
    <w:p>
      <w:pPr>
        <w:pStyle w:val="Normal"/>
      </w:pPr>
      <w:r>
        <w:t xml:space="preserve">with many such objects, it is not visible to the user by default. If you were watching the Windows task list, you could observe a new instance of IE appearing as a process. This </w:t>
      </w:r>
    </w:p>
    <w:p>
      <w:pPr>
        <w:pStyle w:val="Normal"/>
      </w:pPr>
      <w:r>
        <w:t xml:space="preserve">invisibility to the user is useful for automating tasks that users don’t need to see; however, in this </w:t>
      </w:r>
    </w:p>
    <w:p>
      <w:pPr>
        <w:pStyle w:val="Normal"/>
      </w:pPr>
      <w:r>
        <w:t xml:space="preserve">case, we want to see the action, thus the visible property for the IE object is set to true (a Boolean value where one is true and zero is false) so that the application is visible. Finally, the navigate </w:t>
      </w:r>
    </w:p>
    <w:p>
      <w:pPr>
        <w:pStyle w:val="Normal"/>
      </w:pPr>
      <w:r>
        <w:t xml:space="preserve">method is used to instruct IE to navigate to the specified location—in this case AppDeploy.com. </w:t>
      </w:r>
    </w:p>
    <w:p>
      <w:pPr>
        <w:pStyle w:val="Para 25"/>
      </w:pPr>
      <w:r>
        <w:t/>
      </w:r>
    </w:p>
    <w:p>
      <w:pPr>
        <w:pStyle w:val="Para 09"/>
      </w:pPr>
      <w:r>
        <w:t xml:space="preserve">Display Information </w:t>
      </w:r>
    </w:p>
    <w:p>
      <w:pPr>
        <w:pStyle w:val="Para 25"/>
      </w:pPr>
      <w:r>
        <w:t/>
      </w:r>
    </w:p>
    <w:p>
      <w:pPr>
        <w:pStyle w:val="Normal"/>
      </w:pPr>
      <w:r>
        <w:t xml:space="preserve">When most people think of a script, a DOS console window with text scrolling by comes to mind. Although there are certainly ways to make the information in the console window more </w:t>
      </w:r>
    </w:p>
    <w:p>
      <w:pPr>
        <w:pStyle w:val="Normal"/>
      </w:pPr>
      <w:r>
        <w:t xml:space="preserve">attractive, you can utilize another method of displaying information that may be more </w:t>
      </w:r>
    </w:p>
    <w:p>
      <w:pPr>
        <w:pStyle w:val="Normal"/>
      </w:pPr>
      <w:r>
        <w:t xml:space="preserve">“attractive” for your users. As the following script shows, IE can do the trick quite well (see Listing 7.2).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23" name="index-182_1.png" descr="index-182_1.png"/>
            <wp:cNvGraphicFramePr>
              <a:graphicFrameLocks noChangeAspect="1"/>
            </wp:cNvGraphicFramePr>
            <a:graphic>
              <a:graphicData uri="http://schemas.openxmlformats.org/drawingml/2006/picture">
                <pic:pic>
                  <pic:nvPicPr>
                    <pic:cNvPr id="0" name="index-182_1.png" descr="index-182_1.png"/>
                    <pic:cNvPicPr/>
                  </pic:nvPicPr>
                  <pic:blipFill>
                    <a:blip r:embed="rId42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24" name="index-182_2.png" descr="index-182_2.png"/>
            <wp:cNvGraphicFramePr>
              <a:graphicFrameLocks noChangeAspect="1"/>
            </wp:cNvGraphicFramePr>
            <a:graphic>
              <a:graphicData uri="http://schemas.openxmlformats.org/drawingml/2006/picture">
                <pic:pic>
                  <pic:nvPicPr>
                    <pic:cNvPr id="0" name="index-182_2.png" descr="index-182_2.png"/>
                    <pic:cNvPicPr/>
                  </pic:nvPicPr>
                  <pic:blipFill>
                    <a:blip r:embed="rId428"/>
                    <a:stretch>
                      <a:fillRect/>
                    </a:stretch>
                  </pic:blipFill>
                  <pic:spPr>
                    <a:xfrm>
                      <a:off x="0" y="0"/>
                      <a:ext cx="914400" cy="444500"/>
                    </a:xfrm>
                    <a:prstGeom prst="rect">
                      <a:avLst/>
                    </a:prstGeom>
                  </pic:spPr>
                </pic:pic>
              </a:graphicData>
            </a:graphic>
          </wp:anchor>
        </w:drawing>
      </w:r>
    </w:p>
    <w:p>
      <w:pPr>
        <w:pStyle w:val="0 Block"/>
      </w:pPr>
    </w:p>
    <w:p>
      <w:bookmarkStart w:id="191" w:name="Chapter_7_9"/>
      <w:pPr>
        <w:pStyle w:val="Heading 1"/>
        <w:pageBreakBefore w:val="on"/>
      </w:pPr>
      <w:r>
        <w:t>Chapter 7</w:t>
      </w:r>
      <w:bookmarkEnd w:id="191"/>
    </w:p>
    <w:p>
      <w:pPr>
        <w:pStyle w:val="Para 25"/>
      </w:pPr>
      <w:r>
        <w:t/>
      </w:r>
    </w:p>
    <w:p>
      <w:pPr>
        <w:pStyle w:val="Para 03"/>
      </w:pPr>
      <w:r>
        <w:t xml:space="preserve">$ie = CreateObject ("InternetExplorer.Application") </w:t>
        <w:t xml:space="preserve">$ie.AddressBar = 0 </w:t>
      </w:r>
    </w:p>
    <w:p>
      <w:pPr>
        <w:pStyle w:val="Para 03"/>
      </w:pPr>
      <w:r>
        <w:t xml:space="preserve">$ie.MenuBar = 0 </w:t>
      </w:r>
    </w:p>
    <w:p>
      <w:pPr>
        <w:pStyle w:val="Para 03"/>
      </w:pPr>
      <w:r>
        <w:t xml:space="preserve">$ie.StatusBar = 0 </w:t>
      </w:r>
    </w:p>
    <w:p>
      <w:pPr>
        <w:pStyle w:val="Para 03"/>
      </w:pPr>
      <w:r>
        <w:t xml:space="preserve">$ie.ToolBar = 0 </w:t>
      </w:r>
    </w:p>
    <w:p>
      <w:pPr>
        <w:pStyle w:val="Para 03"/>
      </w:pPr>
      <w:r>
        <w:t xml:space="preserve">$ie.Resizable = 0 </w:t>
      </w:r>
    </w:p>
    <w:p>
      <w:pPr>
        <w:pStyle w:val="Para 03"/>
      </w:pPr>
      <w:r>
        <w:t xml:space="preserve">$ie.Height = 450 </w:t>
      </w:r>
    </w:p>
    <w:p>
      <w:pPr>
        <w:pStyle w:val="Para 03"/>
      </w:pPr>
      <w:r>
        <w:t xml:space="preserve">$ie.Width = 400 </w:t>
      </w:r>
    </w:p>
    <w:p>
      <w:pPr>
        <w:pStyle w:val="Para 03"/>
      </w:pPr>
      <w:r>
        <w:t xml:space="preserve">$ie.Visible = 1 </w:t>
      </w:r>
    </w:p>
    <w:p>
      <w:pPr>
        <w:pStyle w:val="Para 03"/>
      </w:pPr>
      <w:r>
        <w:t xml:space="preserve">$ie.Navigate("about:blank") </w:t>
      </w:r>
    </w:p>
    <w:p>
      <w:pPr>
        <w:pStyle w:val="Para 03"/>
      </w:pPr>
      <w:r>
        <w:t xml:space="preserve">While $ie.busy &lt;&gt; 0 AND @error = 0 Loop </w:t>
      </w:r>
    </w:p>
    <w:p>
      <w:pPr>
        <w:pStyle w:val="Para 03"/>
      </w:pPr>
      <w:r>
        <w:t xml:space="preserve">$Doc = $ie.Document </w:t>
      </w:r>
    </w:p>
    <w:p>
      <w:pPr>
        <w:pStyle w:val="Para 03"/>
      </w:pPr>
      <w:r>
        <w:t xml:space="preserve">$rc = $Doc.Open </w:t>
      </w:r>
    </w:p>
    <w:p>
      <w:pPr>
        <w:pStyle w:val="Para 03"/>
      </w:pPr>
      <w:r>
        <w:t>$Doc.Write("</w:t>
        <w:t xml:space="preserve">") </w:t>
      </w:r>
    </w:p>
    <w:p>
      <w:pPr>
        <w:pStyle w:val="Para 03"/>
      </w:pPr>
      <w:r>
        <w:t xml:space="preserve">$Doc.Write("") </w:t>
      </w:r>
    </w:p>
    <w:p>
      <w:pPr>
        <w:pStyle w:val="Para 03"/>
      </w:pPr>
      <w:r>
        <w:t>$Doc.Write("Mapping Network Drives...</w:t>
      </w:r>
    </w:p>
    <w:p>
      <w:pPr>
        <w:pStyle w:val="Normal"/>
      </w:pPr>
      <w:r>
        <w:t xml:space="preserve">") </w:t>
      </w:r>
    </w:p>
    <w:p>
      <w:pPr>
        <w:pStyle w:val="Para 03"/>
      </w:pPr>
      <w:r>
        <w:t xml:space="preserve">Sleep 2 </w:t>
      </w:r>
    </w:p>
    <w:p>
      <w:pPr>
        <w:pStyle w:val="Para 03"/>
      </w:pPr>
      <w:r>
        <w:t>$Doc.Write("Checking For Software Updates...</w:t>
      </w:r>
    </w:p>
    <w:p>
      <w:pPr>
        <w:pStyle w:val="Para 03"/>
      </w:pPr>
      <w:r>
        <w:rPr>
          <w:rStyle w:val="Text2"/>
        </w:rPr>
        <w:t xml:space="preserve">") </w:t>
      </w:r>
      <w:r>
        <w:t xml:space="preserve">Sleep 2 </w:t>
      </w:r>
    </w:p>
    <w:p>
      <w:pPr>
        <w:pStyle w:val="Para 03"/>
      </w:pPr>
      <w:r>
        <w:t>$Doc.Write("Done!</w:t>
      </w:r>
    </w:p>
    <w:p>
      <w:pPr>
        <w:pStyle w:val="Normal"/>
      </w:pPr>
      <w:r>
        <w:t xml:space="preserve">") </w:t>
      </w:r>
    </w:p>
    <w:p>
      <w:pPr>
        <w:pStyle w:val="Para 03"/>
      </w:pPr>
      <w:r>
        <w:t xml:space="preserve">Sleep 2 </w:t>
      </w:r>
    </w:p>
    <w:p>
      <w:pPr>
        <w:pStyle w:val="Para 03"/>
      </w:pPr>
      <w:r>
        <w:t xml:space="preserve">$rc = $Doc.Close </w:t>
      </w:r>
    </w:p>
    <w:p>
      <w:pPr>
        <w:pStyle w:val="Para 03"/>
      </w:pPr>
      <w:r>
        <w:t xml:space="preserve">$ie.Quit </w:t>
      </w:r>
    </w:p>
    <w:p>
      <w:pPr>
        <w:pStyle w:val="Para 03"/>
      </w:pPr>
      <w:r>
        <w:t xml:space="preserve">$ie = 0 </w:t>
      </w:r>
    </w:p>
    <w:p>
      <w:pPr>
        <w:pStyle w:val="Para 25"/>
      </w:pPr>
      <w:r>
        <w:t/>
      </w:r>
    </w:p>
    <w:p>
      <w:pPr>
        <w:pStyle w:val="Para 10"/>
      </w:pPr>
      <w:r>
        <w:t xml:space="preserve">Listing 7.2: Displaying information through IE. </w:t>
      </w:r>
    </w:p>
    <w:p>
      <w:pPr>
        <w:pStyle w:val="Para 25"/>
      </w:pPr>
      <w:r>
        <w:t/>
      </w:r>
    </w:p>
    <w:p>
      <w:pPr>
        <w:pStyle w:val="Normal"/>
      </w:pPr>
      <w:r>
        <w:t xml:space="preserve">In Listing 7.2, an object handle to the IE application is established so that we may begin addressing it. To keep IE from looking so much like IE, we hide the address bar, menu bar, status </w:t>
      </w:r>
    </w:p>
    <w:p>
      <w:pPr>
        <w:pStyle w:val="Normal"/>
      </w:pPr>
      <w:r>
        <w:t xml:space="preserve">bar, and toolbar by setting them to false (zero). So that the display cannot be resized, we set </w:t>
      </w:r>
    </w:p>
    <w:p>
      <w:pPr>
        <w:pStyle w:val="Normal"/>
      </w:pPr>
      <w:r>
        <w:t xml:space="preserve">resizable to zero as well, and establish the dimensions of the display with height and width values of 450 and 400, respectively. With this done, we make IE visible to the user by setting </w:t>
      </w:r>
    </w:p>
    <w:p>
      <w:pPr>
        <w:pStyle w:val="Normal"/>
      </w:pPr>
      <w:r>
        <w:t xml:space="preserve">this property to one (true). We then navigate to a blank page, which is identified by the title </w:t>
      </w:r>
    </w:p>
    <w:p>
      <w:pPr>
        <w:pStyle w:val="Normal"/>
      </w:pPr>
      <w:r>
        <w:t xml:space="preserve">about:blank. Because we do not want to start trying to write to IE before it has established the blank page for us, we loop until IE is no longer busy. We then open a new document and begin </w:t>
      </w:r>
    </w:p>
    <w:p>
      <w:pPr>
        <w:pStyle w:val="Normal"/>
      </w:pPr>
      <w:r>
        <w:t xml:space="preserve">writing HTML to it using the write method. To keep the example short, we write a status </w:t>
      </w:r>
    </w:p>
    <w:p>
      <w:pPr>
        <w:pStyle w:val="Normal"/>
      </w:pPr>
      <w:r>
        <w:t xml:space="preserve">message to IE, then set the script to sleep (pausing) a couple of seconds before displaying the </w:t>
      </w:r>
    </w:p>
    <w:p>
      <w:pPr>
        <w:pStyle w:val="Normal"/>
      </w:pPr>
      <w:r>
        <w:t xml:space="preserve">next message. When done, we close the IE document and quit IE to destroy the IE object. Failure to do so will result in the window staying open. </w:t>
      </w:r>
    </w:p>
    <w:p>
      <w:pPr>
        <w:pStyle w:val="Para 25"/>
      </w:pPr>
      <w:r>
        <w:t/>
      </w:r>
    </w:p>
    <w:p>
      <w:pPr>
        <w:pStyle w:val="Normal"/>
      </w:pPr>
      <w:r>
        <w:t xml:space="preserve">Failing to close an object when complete can result in a new instance of the application being </w:t>
      </w:r>
    </w:p>
    <w:p>
      <w:pPr>
        <w:pStyle w:val="Normal"/>
      </w:pPr>
      <w:r>
        <w:t xml:space="preserve">loaded into memory each time (as Figure 7.2 shows). Using a close or quit method is a common means of properly closing a document or application. In most cases, you can close objects by </w:t>
      </w:r>
    </w:p>
    <w:p>
      <w:pPr>
        <w:pStyle w:val="Normal"/>
      </w:pPr>
      <w:r>
        <w:t xml:space="preserve">setting them to zero.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25" name="index-183_1.png" descr="index-183_1.png"/>
            <wp:cNvGraphicFramePr>
              <a:graphicFrameLocks noChangeAspect="1"/>
            </wp:cNvGraphicFramePr>
            <a:graphic>
              <a:graphicData uri="http://schemas.openxmlformats.org/drawingml/2006/picture">
                <pic:pic>
                  <pic:nvPicPr>
                    <pic:cNvPr id="0" name="index-183_1.png" descr="index-183_1.png"/>
                    <pic:cNvPicPr/>
                  </pic:nvPicPr>
                  <pic:blipFill>
                    <a:blip r:embed="rId42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26" name="index-183_2.png" descr="index-183_2.png"/>
            <wp:cNvGraphicFramePr>
              <a:graphicFrameLocks noChangeAspect="1"/>
            </wp:cNvGraphicFramePr>
            <a:graphic>
              <a:graphicData uri="http://schemas.openxmlformats.org/drawingml/2006/picture">
                <pic:pic>
                  <pic:nvPicPr>
                    <pic:cNvPr id="0" name="index-183_2.png" descr="index-183_2.png"/>
                    <pic:cNvPicPr/>
                  </pic:nvPicPr>
                  <pic:blipFill>
                    <a:blip r:embed="rId430"/>
                    <a:stretch>
                      <a:fillRect/>
                    </a:stretch>
                  </pic:blipFill>
                  <pic:spPr>
                    <a:xfrm>
                      <a:off x="0" y="0"/>
                      <a:ext cx="914400" cy="444500"/>
                    </a:xfrm>
                    <a:prstGeom prst="rect">
                      <a:avLst/>
                    </a:prstGeom>
                  </pic:spPr>
                </pic:pic>
              </a:graphicData>
            </a:graphic>
          </wp:anchor>
        </w:drawing>
      </w:r>
    </w:p>
    <w:p>
      <w:pPr>
        <w:pStyle w:val="0 Block"/>
      </w:pPr>
    </w:p>
    <w:p>
      <w:bookmarkStart w:id="192" w:name="Chapter_7_10"/>
      <w:pPr>
        <w:pStyle w:val="Heading 1"/>
        <w:pageBreakBefore w:val="on"/>
      </w:pPr>
      <w:r>
        <w:t>Chapter 7</w:t>
      </w:r>
      <w:bookmarkEnd w:id="19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63800" cy="2984500"/>
            <wp:effectExtent l="0" r="0" t="0" b="0"/>
            <wp:wrapTopAndBottom/>
            <wp:docPr id="427" name="index-184_1.png" descr="index-184_1.png"/>
            <wp:cNvGraphicFramePr>
              <a:graphicFrameLocks noChangeAspect="1"/>
            </wp:cNvGraphicFramePr>
            <a:graphic>
              <a:graphicData uri="http://schemas.openxmlformats.org/drawingml/2006/picture">
                <pic:pic>
                  <pic:nvPicPr>
                    <pic:cNvPr id="0" name="index-184_1.png" descr="index-184_1.png"/>
                    <pic:cNvPicPr/>
                  </pic:nvPicPr>
                  <pic:blipFill>
                    <a:blip r:embed="rId431"/>
                    <a:stretch>
                      <a:fillRect/>
                    </a:stretch>
                  </pic:blipFill>
                  <pic:spPr>
                    <a:xfrm>
                      <a:off x="0" y="0"/>
                      <a:ext cx="2463800" cy="2984500"/>
                    </a:xfrm>
                    <a:prstGeom prst="rect">
                      <a:avLst/>
                    </a:prstGeom>
                  </pic:spPr>
                </pic:pic>
              </a:graphicData>
            </a:graphic>
          </wp:anchor>
        </w:drawing>
      </w:r>
    </w:p>
    <w:p>
      <w:pPr>
        <w:pStyle w:val="Para 25"/>
      </w:pPr>
      <w:r>
        <w:t/>
      </w:r>
    </w:p>
    <w:p>
      <w:pPr>
        <w:pStyle w:val="Para 07"/>
      </w:pPr>
      <w:r>
        <w:rPr>
          <w:rStyle w:val="Text4"/>
        </w:rPr>
        <w:t>Figure 7.2: Task Manager s</w:t>
      </w:r>
      <w:r>
        <w:t>hows multiple instances of Microsoft Word because it was not properly closed</w:t>
      </w:r>
      <w:r>
        <w:rPr>
          <w:rStyle w:val="Text4"/>
        </w:rPr>
        <w:t xml:space="preserve">. </w:t>
      </w:r>
    </w:p>
    <w:p>
      <w:pPr>
        <w:pStyle w:val="Para 25"/>
      </w:pPr>
      <w:r>
        <w:t/>
      </w:r>
    </w:p>
    <w:p>
      <w:pPr>
        <w:pStyle w:val="Para 12"/>
      </w:pPr>
      <w:r>
        <w:t xml:space="preserve">Running Your Scripts </w:t>
      </w:r>
    </w:p>
    <w:p>
      <w:pPr>
        <w:pStyle w:val="Para 25"/>
      </w:pPr>
      <w:r>
        <w:t/>
      </w:r>
    </w:p>
    <w:p>
      <w:pPr>
        <w:pStyle w:val="Normal"/>
      </w:pPr>
      <w:r>
        <w:t xml:space="preserve">Once you have created your script, how will you go about launching it? The answer is largely dependant upon the task you are trying to accomplish. If your script targets a user, a logon script, </w:t>
      </w:r>
    </w:p>
    <w:p>
      <w:pPr>
        <w:pStyle w:val="Normal"/>
      </w:pPr>
      <w:r>
        <w:t xml:space="preserve">startup shortcut, or RunOnce registry entry is typically used. If you are targeting workstations, </w:t>
      </w:r>
    </w:p>
    <w:p>
      <w:pPr>
        <w:pStyle w:val="Normal"/>
      </w:pPr>
      <w:r>
        <w:t xml:space="preserve">Group Policy, the scheduler service, and manually executed scripts are common choices. Let’s explore each of these options. </w:t>
      </w:r>
    </w:p>
    <w:p>
      <w:pPr>
        <w:pStyle w:val="Para 25"/>
      </w:pPr>
      <w:r>
        <w:t/>
      </w:r>
    </w:p>
    <w:p>
      <w:pPr>
        <w:pStyle w:val="Para 07"/>
      </w:pPr>
      <w:r>
        <w:t xml:space="preserve">Logon Scripts </w:t>
      </w:r>
    </w:p>
    <w:p>
      <w:pPr>
        <w:pStyle w:val="Normal"/>
      </w:pPr>
      <w:r>
        <w:t xml:space="preserve">Logon scripts are executed at logon before RunOnce registry entries and startup shortcuts. </w:t>
      </w:r>
    </w:p>
    <w:p>
      <w:pPr>
        <w:pStyle w:val="Normal"/>
      </w:pPr>
      <w:r>
        <w:t xml:space="preserve">Unless third-party tools or utilities are being used, logon scripts always run in the security </w:t>
      </w:r>
    </w:p>
    <w:p>
      <w:pPr>
        <w:pStyle w:val="Normal"/>
      </w:pPr>
      <w:r>
        <w:t xml:space="preserve">context of the user logging onto the system. </w:t>
      </w:r>
    </w:p>
    <w:p>
      <w:pPr>
        <w:pStyle w:val="Para 25"/>
      </w:pPr>
      <w:r>
        <w:t/>
      </w:r>
    </w:p>
    <w:p>
      <w:pPr>
        <w:pStyle w:val="Normal"/>
      </w:pPr>
      <w:r>
        <w:t xml:space="preserve">Logon scripts may be configured in the user profile or assigned to users by using Group Policy. </w:t>
      </w:r>
    </w:p>
    <w:p>
      <w:pPr>
        <w:pStyle w:val="Normal"/>
      </w:pPr>
      <w:r>
        <w:t xml:space="preserve">Logon scripts are typically placed in the replicated NETLOGON share on a Windows network </w:t>
      </w:r>
    </w:p>
    <w:p>
      <w:pPr>
        <w:pStyle w:val="Normal"/>
      </w:pPr>
      <w:r>
        <w:t xml:space="preserve">(%WINDIR%\system32\Repl\Export on NT and </w:t>
      </w:r>
    </w:p>
    <w:p>
      <w:pPr>
        <w:pStyle w:val="Normal"/>
      </w:pPr>
      <w:r>
        <w:t>%SystemRoot%\Sysvol\Sysvol\</w:t>
        <w:t xml:space="preserve">\Scripts. on Win2K and later).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28" name="index-184_2.png" descr="index-184_2.png"/>
            <wp:cNvGraphicFramePr>
              <a:graphicFrameLocks noChangeAspect="1"/>
            </wp:cNvGraphicFramePr>
            <a:graphic>
              <a:graphicData uri="http://schemas.openxmlformats.org/drawingml/2006/picture">
                <pic:pic>
                  <pic:nvPicPr>
                    <pic:cNvPr id="0" name="index-184_2.png" descr="index-184_2.png"/>
                    <pic:cNvPicPr/>
                  </pic:nvPicPr>
                  <pic:blipFill>
                    <a:blip r:embed="rId43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29" name="index-184_3.png" descr="index-184_3.png"/>
            <wp:cNvGraphicFramePr>
              <a:graphicFrameLocks noChangeAspect="1"/>
            </wp:cNvGraphicFramePr>
            <a:graphic>
              <a:graphicData uri="http://schemas.openxmlformats.org/drawingml/2006/picture">
                <pic:pic>
                  <pic:nvPicPr>
                    <pic:cNvPr id="0" name="index-184_3.png" descr="index-184_3.png"/>
                    <pic:cNvPicPr/>
                  </pic:nvPicPr>
                  <pic:blipFill>
                    <a:blip r:embed="rId433"/>
                    <a:stretch>
                      <a:fillRect/>
                    </a:stretch>
                  </pic:blipFill>
                  <pic:spPr>
                    <a:xfrm>
                      <a:off x="0" y="0"/>
                      <a:ext cx="914400" cy="444500"/>
                    </a:xfrm>
                    <a:prstGeom prst="rect">
                      <a:avLst/>
                    </a:prstGeom>
                  </pic:spPr>
                </pic:pic>
              </a:graphicData>
            </a:graphic>
          </wp:anchor>
        </w:drawing>
      </w:r>
    </w:p>
    <w:p>
      <w:pPr>
        <w:pStyle w:val="0 Block"/>
      </w:pPr>
    </w:p>
    <w:p>
      <w:bookmarkStart w:id="193" w:name="Chapter_7_11"/>
      <w:pPr>
        <w:pStyle w:val="Heading 1"/>
        <w:pageBreakBefore w:val="on"/>
      </w:pPr>
      <w:r>
        <w:t>Chapter 7</w:t>
      </w:r>
      <w:bookmarkEnd w:id="193"/>
    </w:p>
    <w:p>
      <w:pPr>
        <w:pStyle w:val="Para 25"/>
      </w:pPr>
      <w:r>
        <w:t/>
      </w:r>
    </w:p>
    <w:p>
      <w:pPr>
        <w:pStyle w:val="Para 02"/>
      </w:pPr>
      <w:r>
        <w:t xml:space="preserve">If you don’t specify a path, KiXtart searches files in the following order: NETLOGON, KiXtart Startup </w:t>
      </w:r>
    </w:p>
    <w:p>
      <w:pPr>
        <w:pStyle w:val="Para 02"/>
      </w:pPr>
      <w:r>
        <w:t xml:space="preserve">Directory, current directory. </w:t>
      </w:r>
    </w:p>
    <w:p>
      <w:pPr>
        <w:pStyle w:val="Para 25"/>
      </w:pPr>
      <w:r>
        <w:t/>
      </w:r>
    </w:p>
    <w:p>
      <w:pPr>
        <w:pStyle w:val="Normal"/>
      </w:pPr>
      <w:r>
        <w:t xml:space="preserve">For a Win2K client, the logon script runs minimized by default. To change this behavior, you </w:t>
      </w:r>
    </w:p>
    <w:p>
      <w:pPr>
        <w:pStyle w:val="Normal"/>
      </w:pPr>
      <w:r>
        <w:t xml:space="preserve">must instruct the system to run logon scripts synchronously. Doing so will also cause Windows Explorer to not start until the logon script has finished running. Aside from making the logon </w:t>
      </w:r>
    </w:p>
    <w:p>
      <w:pPr>
        <w:pStyle w:val="Normal"/>
      </w:pPr>
      <w:r>
        <w:t xml:space="preserve">script visible, this setting ensures that logon script processing is complete before the user starts </w:t>
      </w:r>
    </w:p>
    <w:p>
      <w:pPr>
        <w:pStyle w:val="Normal"/>
      </w:pPr>
      <w:r>
        <w:t xml:space="preserve">working, but it can delay the appearance of the desktop. </w:t>
      </w:r>
    </w:p>
    <w:p>
      <w:pPr>
        <w:pStyle w:val="Para 25"/>
      </w:pPr>
      <w:r>
        <w:t/>
      </w:r>
    </w:p>
    <w:p>
      <w:pPr>
        <w:pStyle w:val="Normal"/>
      </w:pPr>
      <w:r>
        <w:t xml:space="preserve">If the Win2K client is a member of a Win2K domain, you can specify logon scripts should run synchronously by configuring the following setting in Group Policy: </w:t>
      </w:r>
    </w:p>
    <w:p>
      <w:pPr>
        <w:pStyle w:val="Para 25"/>
      </w:pPr>
      <w:r>
        <w:t/>
      </w:r>
    </w:p>
    <w:p>
      <w:pPr>
        <w:pStyle w:val="Para 11"/>
      </w:pPr>
      <w:r>
        <w:t xml:space="preserve">User Configuration\Administrative Templates\System\Logon/Logoff </w:t>
      </w:r>
    </w:p>
    <w:p>
      <w:pPr>
        <w:pStyle w:val="Para 25"/>
      </w:pPr>
      <w:r>
        <w:t/>
      </w:r>
    </w:p>
    <w:p>
      <w:pPr>
        <w:pStyle w:val="Normal"/>
      </w:pPr>
      <w:r>
        <w:t xml:space="preserve">If the Win2K client is a member of an NT 4.0 domain, you can use System Policy to configure </w:t>
      </w:r>
    </w:p>
    <w:p>
      <w:pPr>
        <w:pStyle w:val="Normal"/>
      </w:pPr>
      <w:r>
        <w:t xml:space="preserve">the following setting: </w:t>
      </w:r>
    </w:p>
    <w:p>
      <w:pPr>
        <w:pStyle w:val="Para 25"/>
      </w:pPr>
      <w:r>
        <w:t/>
      </w:r>
    </w:p>
    <w:p>
      <w:pPr>
        <w:pStyle w:val="Para 11"/>
      </w:pPr>
      <w:r>
        <w:t xml:space="preserve">Computer Configuration\Administrative Templates\System\Logon </w:t>
      </w:r>
    </w:p>
    <w:p>
      <w:pPr>
        <w:pStyle w:val="Para 11"/>
      </w:pPr>
      <w:r>
        <w:t xml:space="preserve">"Run logon scripts synchronously" </w:t>
      </w:r>
    </w:p>
    <w:p>
      <w:pPr>
        <w:pStyle w:val="Normal"/>
      </w:pPr>
      <w:r>
        <w:t xml:space="preserve">For Windows NT 4.0 or to make this change manually, set the value RunLogonScriptSync to a </w:t>
      </w:r>
    </w:p>
    <w:p>
      <w:pPr>
        <w:pStyle w:val="Normal"/>
      </w:pPr>
      <w:r>
        <w:t xml:space="preserve">REG_DWORD value of 1 in the </w:t>
      </w:r>
    </w:p>
    <w:p>
      <w:pPr>
        <w:pStyle w:val="Normal"/>
      </w:pPr>
      <w:r>
        <w:t xml:space="preserve">HKEY_LOCAL_MACHINE\SOFTWARE\Microsoft\Windows NT\CurrentVersion\Winlogon hive. Alternatively, you can use a script to modify the HideLogonScripts registry value of type </w:t>
      </w:r>
    </w:p>
    <w:p>
      <w:pPr>
        <w:pStyle w:val="Normal"/>
      </w:pPr>
      <w:r>
        <w:t xml:space="preserve">REG_DWORD and set the value to 0 in the </w:t>
      </w:r>
    </w:p>
    <w:p>
      <w:pPr>
        <w:pStyle w:val="Normal"/>
      </w:pPr>
      <w:r>
        <w:t xml:space="preserve">HKEY_CURRENT_USER\Software\Microsoft\Windows\CurrentVersion\Policies\System hive. </w:t>
      </w:r>
    </w:p>
    <w:p>
      <w:pPr>
        <w:pStyle w:val="Para 25"/>
      </w:pPr>
      <w:r>
        <w:t/>
      </w:r>
    </w:p>
    <w:p>
      <w:pPr>
        <w:pStyle w:val="Normal"/>
      </w:pPr>
      <w:r>
        <w:t xml:space="preserve">Logon scripts are most often used to perform dynamic “per user” actions when a user logs onto the network. For example, Listing 7.3 shows a logon script that sets drive and printer mappings. </w:t>
      </w:r>
    </w:p>
    <w:p>
      <w:pPr>
        <w:pStyle w:val="Para 25"/>
      </w:pPr>
      <w:r>
        <w:t/>
      </w:r>
    </w:p>
    <w:p>
      <w:pPr>
        <w:pStyle w:val="Para 03"/>
      </w:pPr>
      <w:r>
        <w:t xml:space="preserve">If InGroup("HR") </w:t>
      </w:r>
    </w:p>
    <w:p>
      <w:pPr>
        <w:pStyle w:val="Para 11"/>
      </w:pPr>
      <w:r>
        <w:t xml:space="preserve">Use P: "\\fileserver\hr_files" </w:t>
      </w:r>
    </w:p>
    <w:p>
      <w:pPr>
        <w:pStyle w:val="Para 03"/>
      </w:pPr>
      <w:r>
        <w:t xml:space="preserve">EndIf </w:t>
      </w:r>
    </w:p>
    <w:p>
      <w:pPr>
        <w:pStyle w:val="Para 03"/>
      </w:pPr>
      <w:r>
        <w:t xml:space="preserve">If InGroup("Managers") </w:t>
      </w:r>
    </w:p>
    <w:p>
      <w:pPr>
        <w:pStyle w:val="Para 11"/>
      </w:pPr>
      <w:r>
        <w:t xml:space="preserve">Use M: "\\fileserver\managers" </w:t>
      </w:r>
    </w:p>
    <w:p>
      <w:pPr>
        <w:pStyle w:val="Para 03"/>
      </w:pPr>
      <w:r>
        <w:t xml:space="preserve">EndIf </w:t>
      </w:r>
    </w:p>
    <w:p>
      <w:pPr>
        <w:pStyle w:val="Para 25"/>
      </w:pPr>
      <w:r>
        <w:t/>
      </w:r>
    </w:p>
    <w:p>
      <w:pPr>
        <w:pStyle w:val="Para 03"/>
      </w:pPr>
      <w:r>
        <w:t xml:space="preserve">$Floor = Left(@WKSTA,2) </w:t>
      </w:r>
    </w:p>
    <w:p>
      <w:pPr>
        <w:pStyle w:val="Para 03"/>
      </w:pPr>
      <w:r>
        <w:t xml:space="preserve">Select </w:t>
      </w:r>
    </w:p>
    <w:p>
      <w:pPr>
        <w:pStyle w:val="Para 11"/>
      </w:pPr>
      <w:r>
        <w:t xml:space="preserve">Case $Floor = "01" </w:t>
      </w:r>
    </w:p>
    <w:p>
      <w:pPr>
        <w:pStyle w:val="Para 03"/>
      </w:pPr>
      <w:r>
        <w:t xml:space="preserve"> $rc </w:t>
        <w:t xml:space="preserve">= </w:t>
        <w:t xml:space="preserve">AddPrinterConnection("\\printserver\floor1_prnt") </w:t>
      </w:r>
    </w:p>
    <w:p>
      <w:pPr>
        <w:pStyle w:val="Para 11"/>
      </w:pPr>
      <w:r>
        <w:t xml:space="preserve">Case $Floor = "02" </w:t>
      </w:r>
    </w:p>
    <w:p>
      <w:pPr>
        <w:pStyle w:val="Para 03"/>
      </w:pPr>
      <w:r>
        <w:t xml:space="preserve"> $rc </w:t>
        <w:t xml:space="preserve">= </w:t>
        <w:t xml:space="preserve">AddPrinterConnection("\\printserver\floor2_prnt") </w:t>
      </w:r>
    </w:p>
    <w:p>
      <w:pPr>
        <w:pStyle w:val="Para 11"/>
      </w:pPr>
      <w:r>
        <w:t xml:space="preserve">Case $Floor = "03" </w:t>
      </w:r>
    </w:p>
    <w:p>
      <w:pPr>
        <w:pStyle w:val="Para 03"/>
      </w:pPr>
      <w:r>
        <w:t xml:space="preserve"> $rc </w:t>
        <w:t xml:space="preserve">= </w:t>
        <w:t xml:space="preserve">AddPrinterConnection("\\printserver\floor3_prnt") </w:t>
        <w:t xml:space="preserve">EndSelect </w:t>
      </w:r>
    </w:p>
    <w:p>
      <w:pPr>
        <w:pStyle w:val="Para 25"/>
      </w:pPr>
      <w:r>
        <w:t/>
      </w:r>
    </w:p>
    <w:p>
      <w:pPr>
        <w:pStyle w:val="Para 10"/>
      </w:pPr>
      <w:r>
        <w:t xml:space="preserve">Listing 7.3: An example logon script that sets drive and printer mappings. </w:t>
      </w:r>
    </w:p>
    <w:p>
      <w:pPr>
        <w:pStyle w:val="Para 25"/>
      </w:pPr>
      <w:r>
        <w:t/>
      </w:r>
    </w:p>
    <w:p>
      <w:pPr>
        <w:pStyle w:val="Normal"/>
      </w:pPr>
      <w:r>
        <w:t xml:space="preserve">This script maps the P drive and M drive for those in the HR and Managers user groups, </w:t>
      </w:r>
    </w:p>
    <w:p>
      <w:pPr>
        <w:pStyle w:val="Normal"/>
      </w:pPr>
      <w:r>
        <w:t xml:space="preserve">respectively. If a user is not in either group, neither of these drives will be mapped for them. If a </w:t>
      </w:r>
    </w:p>
    <w:p>
      <w:pPr>
        <w:pStyle w:val="Normal"/>
      </w:pPr>
      <w:r>
        <w:t xml:space="preserve">user is in both groups, both drives will be mapped by this script. The script assumes that the two leftmost characters in the computer name identify the floor where the computer resides. A </w:t>
      </w:r>
    </w:p>
    <w:p>
      <w:pPr>
        <w:pStyle w:val="Normal"/>
      </w:pPr>
      <w:r>
        <w:t xml:space="preserve">different printer is mapped depending upon which floor the computer is located.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30" name="index-185_1.png" descr="index-185_1.png"/>
            <wp:cNvGraphicFramePr>
              <a:graphicFrameLocks noChangeAspect="1"/>
            </wp:cNvGraphicFramePr>
            <a:graphic>
              <a:graphicData uri="http://schemas.openxmlformats.org/drawingml/2006/picture">
                <pic:pic>
                  <pic:nvPicPr>
                    <pic:cNvPr id="0" name="index-185_1.png" descr="index-185_1.png"/>
                    <pic:cNvPicPr/>
                  </pic:nvPicPr>
                  <pic:blipFill>
                    <a:blip r:embed="rId43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31" name="index-185_2.png" descr="index-185_2.png"/>
            <wp:cNvGraphicFramePr>
              <a:graphicFrameLocks noChangeAspect="1"/>
            </wp:cNvGraphicFramePr>
            <a:graphic>
              <a:graphicData uri="http://schemas.openxmlformats.org/drawingml/2006/picture">
                <pic:pic>
                  <pic:nvPicPr>
                    <pic:cNvPr id="0" name="index-185_2.png" descr="index-185_2.png"/>
                    <pic:cNvPicPr/>
                  </pic:nvPicPr>
                  <pic:blipFill>
                    <a:blip r:embed="rId435"/>
                    <a:stretch>
                      <a:fillRect/>
                    </a:stretch>
                  </pic:blipFill>
                  <pic:spPr>
                    <a:xfrm>
                      <a:off x="0" y="0"/>
                      <a:ext cx="914400" cy="444500"/>
                    </a:xfrm>
                    <a:prstGeom prst="rect">
                      <a:avLst/>
                    </a:prstGeom>
                  </pic:spPr>
                </pic:pic>
              </a:graphicData>
            </a:graphic>
          </wp:anchor>
        </w:drawing>
      </w:r>
    </w:p>
    <w:p>
      <w:pPr>
        <w:pStyle w:val="0 Block"/>
      </w:pPr>
    </w:p>
    <w:p>
      <w:bookmarkStart w:id="194" w:name="Chapter_7_12"/>
      <w:pPr>
        <w:pStyle w:val="Heading 1"/>
        <w:pageBreakBefore w:val="on"/>
      </w:pPr>
      <w:r>
        <w:t>Chapter 7</w:t>
      </w:r>
      <w:bookmarkEnd w:id="194"/>
    </w:p>
    <w:p>
      <w:pPr>
        <w:pStyle w:val="Para 25"/>
      </w:pPr>
      <w:r>
        <w:t/>
      </w:r>
    </w:p>
    <w:p>
      <w:pPr>
        <w:pStyle w:val="Para 07"/>
      </w:pPr>
      <w:r>
        <w:t xml:space="preserve">RunOnce and Run </w:t>
      </w:r>
    </w:p>
    <w:p>
      <w:pPr>
        <w:pStyle w:val="Normal"/>
      </w:pPr>
      <w:r>
        <w:t xml:space="preserve">The RunOnce and Run keys may exist for both the machine (HKEY_LOCAL_MACHINE) and </w:t>
      </w:r>
    </w:p>
    <w:p>
      <w:pPr>
        <w:pStyle w:val="Normal"/>
      </w:pPr>
      <w:r>
        <w:t xml:space="preserve">the current user (HKEY_CURRENT_USER). Any machine RunOnce values execute prior to the </w:t>
      </w:r>
    </w:p>
    <w:p>
      <w:pPr>
        <w:pStyle w:val="Normal"/>
      </w:pPr>
      <w:r>
        <w:t xml:space="preserve">loading of the desktop. Then after the desktop loads, any values specified in the Run keys for the </w:t>
      </w:r>
    </w:p>
    <w:p>
      <w:pPr>
        <w:pStyle w:val="Normal"/>
      </w:pPr>
      <w:r>
        <w:t xml:space="preserve">machine and the user are then executed (respectively), and finally RunOnce for the current user is executed. </w:t>
      </w:r>
    </w:p>
    <w:p>
      <w:pPr>
        <w:pStyle w:val="Para 25"/>
      </w:pPr>
      <w:r>
        <w:t/>
      </w:r>
    </w:p>
    <w:p>
      <w:pPr>
        <w:pStyle w:val="Normal"/>
      </w:pPr>
      <w:r>
        <w:t xml:space="preserve">The specified commands will be executed in the context of the user logging on to the system. </w:t>
      </w:r>
    </w:p>
    <w:p>
      <w:pPr>
        <w:pStyle w:val="Normal"/>
      </w:pPr>
      <w:r>
        <w:t xml:space="preserve">Although Run values remain on the system and execute during each logon, RunOnce values execute and then remove themselves from the RunOnce key so that they do not run again: </w:t>
      </w:r>
    </w:p>
    <w:p>
      <w:pPr>
        <w:pStyle w:val="Para 25"/>
      </w:pPr>
      <w:r>
        <w:t/>
      </w:r>
    </w:p>
    <w:p>
      <w:pPr>
        <w:pStyle w:val="Para 11"/>
      </w:pPr>
      <w:r>
        <w:t xml:space="preserve">HKEY_LOCAL_MACHINE\SOFTWARE\Microsoft\Windows\CurrentVersion\RunOnce </w:t>
      </w:r>
    </w:p>
    <w:p>
      <w:pPr>
        <w:pStyle w:val="Para 11"/>
      </w:pPr>
      <w:r>
        <w:t xml:space="preserve">HKEY_LOCAL_MACHINE\SOFTWARE\Microsoft\Windows\CurrentVersion\Run </w:t>
      </w:r>
    </w:p>
    <w:p>
      <w:pPr>
        <w:pStyle w:val="Para 11"/>
      </w:pPr>
      <w:r>
        <w:t xml:space="preserve">HKEY_CURRENT_USER\SOFTWARE\Microsoft\Windows\CurrentVersion\Run </w:t>
      </w:r>
    </w:p>
    <w:p>
      <w:pPr>
        <w:pStyle w:val="Para 11"/>
      </w:pPr>
      <w:r>
        <w:t xml:space="preserve">HKEY_CURRENT_USER\SOFTWARE\Microsoft\Windows\CurrentVersion\RunOnce </w:t>
      </w:r>
    </w:p>
    <w:p>
      <w:pPr>
        <w:pStyle w:val="Para 25"/>
      </w:pPr>
      <w:r>
        <w:t/>
      </w:r>
    </w:p>
    <w:p>
      <w:pPr>
        <w:pStyle w:val="Normal"/>
      </w:pPr>
      <w:r>
        <w:t xml:space="preserve">To specify an entry, simply create a value in the appropriate key, and give the value any name </w:t>
      </w:r>
    </w:p>
    <w:p>
      <w:pPr>
        <w:pStyle w:val="Normal"/>
      </w:pPr>
      <w:r>
        <w:t xml:space="preserve">you like (the value name does not matter, but should be something to help you identify its action). Then, as the data for the new value, enter the command line or script path that you want </w:t>
      </w:r>
    </w:p>
    <w:p>
      <w:pPr>
        <w:pStyle w:val="Normal"/>
      </w:pPr>
      <w:r>
        <w:t xml:space="preserve">to execute. </w:t>
      </w:r>
    </w:p>
    <w:p>
      <w:pPr>
        <w:pStyle w:val="Para 25"/>
      </w:pPr>
      <w:r>
        <w:t/>
      </w:r>
    </w:p>
    <w:p>
      <w:pPr>
        <w:pStyle w:val="Para 02"/>
      </w:pPr>
      <w:r>
        <w:t xml:space="preserve">Never call a script from RunOnce that inserts an entry into RunOnce or you will encounter an endless </w:t>
      </w:r>
    </w:p>
    <w:p>
      <w:pPr>
        <w:pStyle w:val="Para 02"/>
      </w:pPr>
      <w:r>
        <w:t xml:space="preserve">loop. RunOnce does not continue the logon process until all entries are executed and the RunOnce </w:t>
      </w:r>
    </w:p>
    <w:p>
      <w:pPr>
        <w:pStyle w:val="Para 02"/>
      </w:pPr>
      <w:r>
        <w:t xml:space="preserve">key in the registry is free of entries. </w:t>
      </w:r>
    </w:p>
    <w:p>
      <w:pPr>
        <w:pStyle w:val="Para 25"/>
      </w:pPr>
      <w:r>
        <w:t/>
      </w:r>
    </w:p>
    <w:p>
      <w:pPr>
        <w:pStyle w:val="Para 07"/>
      </w:pPr>
      <w:r>
        <w:t xml:space="preserve">Startup Shortcuts </w:t>
      </w:r>
    </w:p>
    <w:p>
      <w:pPr>
        <w:pStyle w:val="Normal"/>
      </w:pPr>
      <w:r>
        <w:t xml:space="preserve">Startup shortcuts are executed after the logon script and any calls made by Run and RunOnce </w:t>
      </w:r>
    </w:p>
    <w:p>
      <w:pPr>
        <w:pStyle w:val="Normal"/>
      </w:pPr>
      <w:r>
        <w:t xml:space="preserve">values. If there are multiple items in the startup folders for the current user, those items are triggered alphabetically starting with those assigned to all users. The following list shows the </w:t>
      </w:r>
    </w:p>
    <w:p>
      <w:pPr>
        <w:pStyle w:val="Normal"/>
      </w:pPr>
      <w:r>
        <w:t xml:space="preserve">order of startup execution: </w:t>
      </w:r>
    </w:p>
    <w:p>
      <w:pPr>
        <w:pStyle w:val="Para 25"/>
      </w:pPr>
      <w:r>
        <w:t/>
      </w:r>
    </w:p>
    <w:p>
      <w:pPr>
        <w:pStyle w:val="Para 04"/>
      </w:pPr>
      <w:r>
        <w:rPr>
          <w:rStyle w:val="Text1"/>
        </w:rPr>
        <w:t xml:space="preserve">65. </w:t>
      </w:r>
      <w:r>
        <w:t xml:space="preserve">Network logon script </w:t>
      </w:r>
    </w:p>
    <w:p>
      <w:pPr>
        <w:pStyle w:val="Para 25"/>
      </w:pPr>
      <w:r>
        <w:t/>
      </w:r>
    </w:p>
    <w:p>
      <w:pPr>
        <w:pStyle w:val="Para 04"/>
      </w:pPr>
      <w:r>
        <w:rPr>
          <w:rStyle w:val="Text1"/>
        </w:rPr>
        <w:t xml:space="preserve">66. </w:t>
      </w:r>
      <w:r>
        <w:t xml:space="preserve">HKEY_LOCAL_MACHINE RunOnce entries </w:t>
      </w:r>
    </w:p>
    <w:p>
      <w:pPr>
        <w:pStyle w:val="Para 25"/>
      </w:pPr>
      <w:r>
        <w:t/>
      </w:r>
    </w:p>
    <w:p>
      <w:pPr>
        <w:pStyle w:val="Para 04"/>
      </w:pPr>
      <w:r>
        <w:rPr>
          <w:rStyle w:val="Text1"/>
        </w:rPr>
        <w:t xml:space="preserve">67. </w:t>
      </w:r>
      <w:r>
        <w:t xml:space="preserve">HKEY_LOCAL_MACHINE Run entries </w:t>
      </w:r>
    </w:p>
    <w:p>
      <w:pPr>
        <w:pStyle w:val="Para 25"/>
      </w:pPr>
      <w:r>
        <w:t/>
      </w:r>
    </w:p>
    <w:p>
      <w:pPr>
        <w:pStyle w:val="Para 04"/>
      </w:pPr>
      <w:r>
        <w:rPr>
          <w:rStyle w:val="Text1"/>
        </w:rPr>
        <w:t xml:space="preserve">68. </w:t>
      </w:r>
      <w:r>
        <w:t xml:space="preserve">HKEY_CURRENT_USER Run entries </w:t>
      </w:r>
    </w:p>
    <w:p>
      <w:pPr>
        <w:pStyle w:val="Para 25"/>
      </w:pPr>
      <w:r>
        <w:t/>
      </w:r>
    </w:p>
    <w:p>
      <w:pPr>
        <w:pStyle w:val="Para 04"/>
      </w:pPr>
      <w:r>
        <w:rPr>
          <w:rStyle w:val="Text1"/>
        </w:rPr>
        <w:t xml:space="preserve">69. </w:t>
      </w:r>
      <w:r>
        <w:t xml:space="preserve">HKEY_CURRENT_USER RunOnce entries </w:t>
      </w:r>
    </w:p>
    <w:p>
      <w:pPr>
        <w:pStyle w:val="Para 25"/>
      </w:pPr>
      <w:r>
        <w:t/>
      </w:r>
    </w:p>
    <w:p>
      <w:pPr>
        <w:pStyle w:val="Para 04"/>
      </w:pPr>
      <w:r>
        <w:rPr>
          <w:rStyle w:val="Text1"/>
        </w:rPr>
        <w:t xml:space="preserve">70. </w:t>
      </w:r>
      <w:r>
        <w:t xml:space="preserve">All users’ startup folder shortcuts </w:t>
      </w:r>
    </w:p>
    <w:p>
      <w:pPr>
        <w:pStyle w:val="Para 25"/>
      </w:pPr>
      <w:r>
        <w:t/>
      </w:r>
    </w:p>
    <w:p>
      <w:pPr>
        <w:pStyle w:val="Para 04"/>
      </w:pPr>
      <w:r>
        <w:rPr>
          <w:rStyle w:val="Text1"/>
        </w:rPr>
        <w:t xml:space="preserve">71. </w:t>
      </w:r>
      <w:r>
        <w:t xml:space="preserve">Current user startup folder shortcuts </w:t>
      </w:r>
    </w:p>
    <w:p>
      <w:pPr>
        <w:pStyle w:val="Para 25"/>
      </w:pPr>
      <w:r>
        <w:t/>
      </w:r>
    </w:p>
    <w:p>
      <w:pPr>
        <w:pStyle w:val="Para 02"/>
      </w:pPr>
      <w:r>
        <w:t xml:space="preserve">For a useful article about startup sequences, including additional actions and entry points into the </w:t>
      </w:r>
    </w:p>
    <w:p>
      <w:pPr>
        <w:pStyle w:val="Para 02"/>
      </w:pPr>
      <w:r>
        <w:t xml:space="preserve">logon process, see the ScriptLogic article T1056 at </w:t>
      </w:r>
    </w:p>
    <w:p>
      <w:pPr>
        <w:pStyle w:val="Para 02"/>
      </w:pPr>
      <w:r>
        <w:t>http://www.scriptlogic.com/support/kb/displayarticle.asp?UID=66</w:t>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32" name="index-186_1.png" descr="index-186_1.png"/>
            <wp:cNvGraphicFramePr>
              <a:graphicFrameLocks noChangeAspect="1"/>
            </wp:cNvGraphicFramePr>
            <a:graphic>
              <a:graphicData uri="http://schemas.openxmlformats.org/drawingml/2006/picture">
                <pic:pic>
                  <pic:nvPicPr>
                    <pic:cNvPr id="0" name="index-186_1.png" descr="index-186_1.png"/>
                    <pic:cNvPicPr/>
                  </pic:nvPicPr>
                  <pic:blipFill>
                    <a:blip r:embed="rId43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33" name="index-186_2.png" descr="index-186_2.png"/>
            <wp:cNvGraphicFramePr>
              <a:graphicFrameLocks noChangeAspect="1"/>
            </wp:cNvGraphicFramePr>
            <a:graphic>
              <a:graphicData uri="http://schemas.openxmlformats.org/drawingml/2006/picture">
                <pic:pic>
                  <pic:nvPicPr>
                    <pic:cNvPr id="0" name="index-186_2.png" descr="index-186_2.png"/>
                    <pic:cNvPicPr/>
                  </pic:nvPicPr>
                  <pic:blipFill>
                    <a:blip r:embed="rId437"/>
                    <a:stretch>
                      <a:fillRect/>
                    </a:stretch>
                  </pic:blipFill>
                  <pic:spPr>
                    <a:xfrm>
                      <a:off x="0" y="0"/>
                      <a:ext cx="914400" cy="444500"/>
                    </a:xfrm>
                    <a:prstGeom prst="rect">
                      <a:avLst/>
                    </a:prstGeom>
                  </pic:spPr>
                </pic:pic>
              </a:graphicData>
            </a:graphic>
          </wp:anchor>
        </w:drawing>
      </w:r>
    </w:p>
    <w:p>
      <w:pPr>
        <w:pStyle w:val="0 Block"/>
      </w:pPr>
    </w:p>
    <w:p>
      <w:bookmarkStart w:id="195" w:name="Chapter_7_13"/>
      <w:pPr>
        <w:pStyle w:val="Heading 1"/>
        <w:pageBreakBefore w:val="on"/>
      </w:pPr>
      <w:r>
        <w:t>Chapter 7</w:t>
      </w:r>
      <w:bookmarkEnd w:id="195"/>
    </w:p>
    <w:p>
      <w:pPr>
        <w:pStyle w:val="Para 25"/>
      </w:pPr>
      <w:r>
        <w:t/>
      </w:r>
    </w:p>
    <w:p>
      <w:pPr>
        <w:pStyle w:val="Para 07"/>
      </w:pPr>
      <w:r>
        <w:t xml:space="preserve">Schedulers </w:t>
      </w:r>
    </w:p>
    <w:p>
      <w:pPr>
        <w:pStyle w:val="Normal"/>
      </w:pPr>
      <w:r>
        <w:t xml:space="preserve">You can use the following schedulers to configure events to occur at specified times: </w:t>
      </w:r>
    </w:p>
    <w:p>
      <w:pPr>
        <w:pStyle w:val="Para 25"/>
      </w:pPr>
      <w:r>
        <w:t/>
      </w:r>
    </w:p>
    <w:p>
      <w:pPr>
        <w:pStyle w:val="Para 04"/>
      </w:pPr>
      <w:r>
        <w:t xml:space="preserve">• </w:t>
        <w:t xml:space="preserve">At.exe—At.exe is a command-line scheduler that Microsoft introduced with NT. This </w:t>
      </w:r>
    </w:p>
    <w:p>
      <w:pPr>
        <w:pStyle w:val="Para 01"/>
      </w:pPr>
      <w:r>
        <w:t xml:space="preserve">scheduler provides the ability to schedule events to occur on either a local or remote </w:t>
      </w:r>
    </w:p>
    <w:p>
      <w:pPr>
        <w:pStyle w:val="Para 01"/>
      </w:pPr>
      <w:r>
        <w:t xml:space="preserve">system—a very valuable desktop administration tool. For example, the command </w:t>
      </w:r>
    </w:p>
    <w:p>
      <w:pPr>
        <w:pStyle w:val="Para 25"/>
      </w:pPr>
      <w:r>
        <w:t/>
      </w:r>
    </w:p>
    <w:p>
      <w:pPr>
        <w:pStyle w:val="Para 11"/>
      </w:pPr>
      <w:r>
        <w:t>AT 20:00/every:m,t,th,f "C:\Chk4Updt.bat"</w:t>
      </w:r>
    </w:p>
    <w:p>
      <w:pPr>
        <w:pStyle w:val="Para 25"/>
      </w:pPr>
      <w:r>
        <w:t/>
      </w:r>
    </w:p>
    <w:p>
      <w:pPr>
        <w:pStyle w:val="Para 01"/>
      </w:pPr>
      <w:r>
        <w:t xml:space="preserve">causes C:\Chk4Updt.bat to be run each Monday, Tuesday, Thursday, and Friday at 8:00 PM. </w:t>
      </w:r>
    </w:p>
    <w:p>
      <w:pPr>
        <w:pStyle w:val="Para 25"/>
      </w:pPr>
      <w:r>
        <w:t/>
      </w:r>
    </w:p>
    <w:p>
      <w:pPr>
        <w:pStyle w:val="Para 04"/>
      </w:pPr>
      <w:r>
        <w:t xml:space="preserve">• </w:t>
        <w:t xml:space="preserve">Soon.exe—Soon.exe is referred to as a near-future command scheduler. It utilizes the </w:t>
      </w:r>
    </w:p>
    <w:p>
      <w:pPr>
        <w:pStyle w:val="Para 01"/>
      </w:pPr>
      <w:r>
        <w:t xml:space="preserve">at.exe scheduler to set the specified event to occur a couple of seconds in the future. With </w:t>
      </w:r>
    </w:p>
    <w:p>
      <w:pPr>
        <w:pStyle w:val="Para 01"/>
      </w:pPr>
      <w:r>
        <w:t xml:space="preserve">at.exe, it is tricky to schedule an event to occur right away—if you are off by just a few seconds, the task is set to run the next day. On top of this problem, you cannot assume </w:t>
      </w:r>
    </w:p>
    <w:p>
      <w:pPr>
        <w:pStyle w:val="Para 01"/>
      </w:pPr>
      <w:r>
        <w:t xml:space="preserve">that your system clock and the remote system clock have the same time configured. </w:t>
      </w:r>
    </w:p>
    <w:p>
      <w:pPr>
        <w:pStyle w:val="Para 01"/>
      </w:pPr>
      <w:r>
        <w:t xml:space="preserve">Soon.exe takes care of this problem. For Windows XP and later, the SchTasks.exe utility supports a parameter to identify a task that should be run immediately. </w:t>
      </w:r>
    </w:p>
    <w:p>
      <w:pPr>
        <w:pStyle w:val="Para 25"/>
      </w:pPr>
      <w:r>
        <w:t/>
      </w:r>
    </w:p>
    <w:p>
      <w:pPr>
        <w:pStyle w:val="Para 04"/>
      </w:pPr>
      <w:r>
        <w:t xml:space="preserve">• </w:t>
        <w:t xml:space="preserve">SchTasks.exe—Windows XP and Windows Server 2003 include SchTasks.exe, which </w:t>
      </w:r>
    </w:p>
    <w:p>
      <w:pPr>
        <w:pStyle w:val="Para 01"/>
      </w:pPr>
      <w:r>
        <w:t xml:space="preserve">replaces the NT and Win2K command-line scheduler at.exe. SchTasks.exe allows an </w:t>
      </w:r>
    </w:p>
    <w:p>
      <w:pPr>
        <w:pStyle w:val="Para 01"/>
      </w:pPr>
      <w:r>
        <w:t xml:space="preserve">administrator to create, delete, query, change, run, and end scheduled tasks on a local or </w:t>
      </w:r>
    </w:p>
    <w:p>
      <w:pPr>
        <w:pStyle w:val="Para 01"/>
      </w:pPr>
      <w:r>
        <w:t xml:space="preserve">remote system. The following command-line parameters control the SchTasks.exe command-line utility: </w:t>
      </w:r>
    </w:p>
    <w:p>
      <w:pPr>
        <w:pStyle w:val="Para 25"/>
      </w:pPr>
      <w:r>
        <w:t/>
      </w:r>
    </w:p>
    <w:p>
      <w:pPr>
        <w:pStyle w:val="Para 02"/>
      </w:pPr>
      <w:r>
        <w:t xml:space="preserve">/Create to create a new scheduled task </w:t>
      </w:r>
    </w:p>
    <w:p>
      <w:pPr>
        <w:pStyle w:val="Para 02"/>
      </w:pPr>
      <w:r>
        <w:t xml:space="preserve">/Delete to delete a scheduled task </w:t>
      </w:r>
    </w:p>
    <w:p>
      <w:pPr>
        <w:pStyle w:val="Para 02"/>
      </w:pPr>
      <w:r>
        <w:t xml:space="preserve">/Query to display scheduled tasks </w:t>
      </w:r>
    </w:p>
    <w:p>
      <w:pPr>
        <w:pStyle w:val="Para 02"/>
      </w:pPr>
      <w:r>
        <w:t xml:space="preserve">/Change to change the properties of a scheduled task </w:t>
      </w:r>
    </w:p>
    <w:p>
      <w:pPr>
        <w:pStyle w:val="Para 02"/>
      </w:pPr>
      <w:r>
        <w:t xml:space="preserve">/Run to run a scheduled task immediately </w:t>
      </w:r>
    </w:p>
    <w:p>
      <w:pPr>
        <w:pStyle w:val="Para 02"/>
      </w:pPr>
      <w:r>
        <w:t xml:space="preserve">/End to stop the currently running scheduled task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34" name="index-187_1.png" descr="index-187_1.png"/>
            <wp:cNvGraphicFramePr>
              <a:graphicFrameLocks noChangeAspect="1"/>
            </wp:cNvGraphicFramePr>
            <a:graphic>
              <a:graphicData uri="http://schemas.openxmlformats.org/drawingml/2006/picture">
                <pic:pic>
                  <pic:nvPicPr>
                    <pic:cNvPr id="0" name="index-187_1.png" descr="index-187_1.png"/>
                    <pic:cNvPicPr/>
                  </pic:nvPicPr>
                  <pic:blipFill>
                    <a:blip r:embed="rId43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35" name="index-187_2.png" descr="index-187_2.png"/>
            <wp:cNvGraphicFramePr>
              <a:graphicFrameLocks noChangeAspect="1"/>
            </wp:cNvGraphicFramePr>
            <a:graphic>
              <a:graphicData uri="http://schemas.openxmlformats.org/drawingml/2006/picture">
                <pic:pic>
                  <pic:nvPicPr>
                    <pic:cNvPr id="0" name="index-187_2.png" descr="index-187_2.png"/>
                    <pic:cNvPicPr/>
                  </pic:nvPicPr>
                  <pic:blipFill>
                    <a:blip r:embed="rId439"/>
                    <a:stretch>
                      <a:fillRect/>
                    </a:stretch>
                  </pic:blipFill>
                  <pic:spPr>
                    <a:xfrm>
                      <a:off x="0" y="0"/>
                      <a:ext cx="914400" cy="444500"/>
                    </a:xfrm>
                    <a:prstGeom prst="rect">
                      <a:avLst/>
                    </a:prstGeom>
                  </pic:spPr>
                </pic:pic>
              </a:graphicData>
            </a:graphic>
          </wp:anchor>
        </w:drawing>
      </w:r>
    </w:p>
    <w:p>
      <w:pPr>
        <w:pStyle w:val="0 Block"/>
      </w:pPr>
    </w:p>
    <w:p>
      <w:bookmarkStart w:id="196" w:name="Chapter_7_14"/>
      <w:pPr>
        <w:pStyle w:val="Heading 1"/>
        <w:pageBreakBefore w:val="on"/>
      </w:pPr>
      <w:r>
        <w:t>Chapter 7</w:t>
      </w:r>
      <w:bookmarkEnd w:id="196"/>
    </w:p>
    <w:p>
      <w:pPr>
        <w:pStyle w:val="Para 25"/>
      </w:pPr>
      <w:r>
        <w:t/>
      </w:r>
    </w:p>
    <w:p>
      <w:pPr>
        <w:pStyle w:val="Para 04"/>
      </w:pPr>
      <w:r>
        <w:t xml:space="preserve">• </w:t>
        <w:t xml:space="preserve">WMI—You can use WMI to manipulate the Windows Task Scheduler, though the format </w:t>
      </w:r>
    </w:p>
    <w:p>
      <w:pPr>
        <w:pStyle w:val="Para 01"/>
      </w:pPr>
      <w:r>
        <w:t xml:space="preserve">for identifying dates and times is rather complex. The time to run the job must be </w:t>
      </w:r>
    </w:p>
    <w:p>
      <w:pPr>
        <w:pStyle w:val="Para 01"/>
      </w:pPr>
      <w:r>
        <w:t xml:space="preserve">specified in the form of YYYYMMDDHHMMSS.MMMMMM(+-)OOO. The date </w:t>
      </w:r>
    </w:p>
    <w:p>
      <w:pPr>
        <w:pStyle w:val="Para 01"/>
      </w:pPr>
      <w:r>
        <w:t xml:space="preserve">(YYYMMDD) must be replaced by ******** because the scheduling service only allows jobs to be configured to run one time or run on a day of the month or week (and </w:t>
      </w:r>
    </w:p>
    <w:p>
      <w:pPr>
        <w:pStyle w:val="Para 01"/>
      </w:pPr>
      <w:r>
        <w:t xml:space="preserve">cannot specify a specific date). In the following KiXtart sample code, a utility named </w:t>
      </w:r>
    </w:p>
    <w:p>
      <w:pPr>
        <w:pStyle w:val="Para 01"/>
      </w:pPr>
      <w:r>
        <w:t xml:space="preserve">DiskCheck is configured to run every Wednesday at 4:25 AM: </w:t>
      </w:r>
    </w:p>
    <w:p>
      <w:pPr>
        <w:pStyle w:val="Para 25"/>
      </w:pPr>
      <w:r>
        <w:t/>
      </w:r>
    </w:p>
    <w:p>
      <w:pPr>
        <w:pStyle w:val="Para 11"/>
      </w:pPr>
      <w:r>
        <w:t xml:space="preserve">$Computer = "." </w:t>
      </w:r>
    </w:p>
    <w:p>
      <w:pPr>
        <w:pStyle w:val="Para 11"/>
      </w:pPr>
      <w:r>
        <w:t xml:space="preserve">$WMIService = GetObject("winmgmts:" + </w:t>
      </w:r>
    </w:p>
    <w:p>
      <w:pPr>
        <w:pStyle w:val="Para 11"/>
      </w:pPr>
      <w:r>
        <w:t xml:space="preserve">"{impersonationLevel=impersonate}!\\" + $Computer + </w:t>
        <w:t xml:space="preserve">"\root\cimv2") </w:t>
      </w:r>
    </w:p>
    <w:p>
      <w:pPr>
        <w:pStyle w:val="Para 11"/>
      </w:pPr>
      <w:r>
        <w:t xml:space="preserve">$NewJob = $WMIService.Get("Win32_ScheduledJob") </w:t>
      </w:r>
    </w:p>
    <w:p>
      <w:pPr>
        <w:pStyle w:val="Para 11"/>
      </w:pPr>
      <w:r>
        <w:t xml:space="preserve">$rc = $NewJob.Create ("Notepad.exe", "********012500.000000-420", </w:t>
        <w:t xml:space="preserve">True , 4, , True, JobID) </w:t>
      </w:r>
    </w:p>
    <w:p>
      <w:pPr>
        <w:pStyle w:val="Para 25"/>
      </w:pPr>
      <w:r>
        <w:t/>
      </w:r>
    </w:p>
    <w:p>
      <w:pPr>
        <w:pStyle w:val="Para 02"/>
      </w:pPr>
      <w:r>
        <w:t xml:space="preserve">For more information about using COM to schedule jobs (including how to decipher these time and </w:t>
      </w:r>
    </w:p>
    <w:p>
      <w:pPr>
        <w:pStyle w:val="Para 02"/>
      </w:pPr>
      <w:r>
        <w:t xml:space="preserve">date values) visit http://msdn.microsoft.com/library/en-us/wmisdk/wmi/win32_scheduledjob.asp. </w:t>
      </w:r>
    </w:p>
    <w:p>
      <w:pPr>
        <w:pStyle w:val="Para 25"/>
      </w:pPr>
      <w:r>
        <w:t/>
      </w:r>
    </w:p>
    <w:p>
      <w:pPr>
        <w:pStyle w:val="Para 07"/>
      </w:pPr>
      <w:r>
        <w:t xml:space="preserve">Manual Execution </w:t>
      </w:r>
    </w:p>
    <w:p>
      <w:pPr>
        <w:pStyle w:val="Normal"/>
      </w:pPr>
      <w:r>
        <w:t xml:space="preserve">To configure your script to perform actions on remote systems, simply running the script from </w:t>
      </w:r>
    </w:p>
    <w:p>
      <w:pPr>
        <w:pStyle w:val="Normal"/>
      </w:pPr>
      <w:r>
        <w:t xml:space="preserve">your workstation may be all you need to do. Any security restrictions for remote connections and </w:t>
      </w:r>
    </w:p>
    <w:p>
      <w:pPr>
        <w:pStyle w:val="Normal"/>
      </w:pPr>
      <w:r>
        <w:t xml:space="preserve">rights will need to be taken into consideration. In most cases, executing an administrative script while logged on as a member of the Domain Admins group is more than sufficient to perform </w:t>
      </w:r>
    </w:p>
    <w:p>
      <w:pPr>
        <w:pStyle w:val="Normal"/>
      </w:pPr>
      <w:r>
        <w:t xml:space="preserve">most all actions you want to automate. However, it is always best to utilize an account that has </w:t>
      </w:r>
    </w:p>
    <w:p>
      <w:pPr>
        <w:pStyle w:val="Normal"/>
      </w:pPr>
      <w:r>
        <w:t xml:space="preserve">just enough permissions to get the job done. </w:t>
      </w:r>
    </w:p>
    <w:p>
      <w:pPr>
        <w:pStyle w:val="Para 25"/>
      </w:pPr>
      <w:r>
        <w:t/>
      </w:r>
    </w:p>
    <w:p>
      <w:pPr>
        <w:pStyle w:val="Para 02"/>
      </w:pPr>
      <w:r>
        <w:t xml:space="preserve">Always be aware of the potential for scripts to result in widespread damage. When it comes to </w:t>
      </w:r>
    </w:p>
    <w:p>
      <w:pPr>
        <w:pStyle w:val="Para 02"/>
      </w:pPr>
      <w:r>
        <w:t xml:space="preserve">scripting, it is very important that operations be tested in a lab or offline environment before letting </w:t>
      </w:r>
    </w:p>
    <w:p>
      <w:pPr>
        <w:pStyle w:val="Para 02"/>
      </w:pPr>
      <w:r>
        <w:t xml:space="preserve">them loose on your production network. Such is especially the case when dealing with scripts that </w:t>
      </w:r>
    </w:p>
    <w:p>
      <w:pPr>
        <w:pStyle w:val="Para 02"/>
      </w:pPr>
      <w:r>
        <w:t xml:space="preserve">reach out across the network to many machines. </w:t>
      </w:r>
    </w:p>
    <w:p>
      <w:pPr>
        <w:pStyle w:val="Para 25"/>
      </w:pPr>
      <w:r>
        <w:t/>
      </w:r>
    </w:p>
    <w:p>
      <w:pPr>
        <w:pStyle w:val="Normal"/>
      </w:pPr>
      <w:r>
        <w:t xml:space="preserve">To access a file remotely on NT and later systems, you can take advantage of administrative </w:t>
      </w:r>
    </w:p>
    <w:p>
      <w:pPr>
        <w:pStyle w:val="Normal"/>
      </w:pPr>
      <w:r>
        <w:t xml:space="preserve">shares. For example, to copy a file locally, you might use something like this: </w:t>
      </w:r>
    </w:p>
    <w:p>
      <w:pPr>
        <w:pStyle w:val="Para 25"/>
      </w:pPr>
      <w:r>
        <w:t/>
      </w:r>
    </w:p>
    <w:p>
      <w:pPr>
        <w:pStyle w:val="Para 11"/>
      </w:pPr>
      <w:r>
        <w:t xml:space="preserve">Copy “\\server\share\file.exe” “c:\winnt\system32” </w:t>
      </w:r>
    </w:p>
    <w:p>
      <w:pPr>
        <w:pStyle w:val="Normal"/>
      </w:pPr>
      <w:r>
        <w:t xml:space="preserve">To copy the file to a remote machine, you can take advantage of administrative shares by </w:t>
      </w:r>
    </w:p>
    <w:p>
      <w:pPr>
        <w:pStyle w:val="Normal"/>
      </w:pPr>
      <w:r>
        <w:t xml:space="preserve">changing this statement to the following: </w:t>
      </w:r>
    </w:p>
    <w:p>
      <w:pPr>
        <w:pStyle w:val="Para 25"/>
      </w:pPr>
      <w:r>
        <w:t/>
      </w:r>
    </w:p>
    <w:p>
      <w:pPr>
        <w:pStyle w:val="Para 11"/>
      </w:pPr>
      <w:r>
        <w:t xml:space="preserve">Copy “\\server\share\file.exe” “\\computername\admin$\system32” </w:t>
      </w:r>
    </w:p>
    <w:p>
      <w:pPr>
        <w:pStyle w:val="Para 25"/>
      </w:pPr>
      <w:r>
        <w:t/>
      </w:r>
    </w:p>
    <w:p>
      <w:pPr>
        <w:pStyle w:val="Para 02"/>
      </w:pPr>
      <w:r>
        <w:t xml:space="preserve">Depending upon System Policy or Group Policy settings in your environment, these administrative </w:t>
      </w:r>
    </w:p>
    <w:p>
      <w:pPr>
        <w:pStyle w:val="Para 02"/>
      </w:pPr>
      <w:r>
        <w:t xml:space="preserve">shares ($Admin, $C, $D, etc.) may be disabled.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36" name="index-188_1.png" descr="index-188_1.png"/>
            <wp:cNvGraphicFramePr>
              <a:graphicFrameLocks noChangeAspect="1"/>
            </wp:cNvGraphicFramePr>
            <a:graphic>
              <a:graphicData uri="http://schemas.openxmlformats.org/drawingml/2006/picture">
                <pic:pic>
                  <pic:nvPicPr>
                    <pic:cNvPr id="0" name="index-188_1.png" descr="index-188_1.png"/>
                    <pic:cNvPicPr/>
                  </pic:nvPicPr>
                  <pic:blipFill>
                    <a:blip r:embed="rId44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37" name="index-188_2.png" descr="index-188_2.png"/>
            <wp:cNvGraphicFramePr>
              <a:graphicFrameLocks noChangeAspect="1"/>
            </wp:cNvGraphicFramePr>
            <a:graphic>
              <a:graphicData uri="http://schemas.openxmlformats.org/drawingml/2006/picture">
                <pic:pic>
                  <pic:nvPicPr>
                    <pic:cNvPr id="0" name="index-188_2.png" descr="index-188_2.png"/>
                    <pic:cNvPicPr/>
                  </pic:nvPicPr>
                  <pic:blipFill>
                    <a:blip r:embed="rId441"/>
                    <a:stretch>
                      <a:fillRect/>
                    </a:stretch>
                  </pic:blipFill>
                  <pic:spPr>
                    <a:xfrm>
                      <a:off x="0" y="0"/>
                      <a:ext cx="914400" cy="444500"/>
                    </a:xfrm>
                    <a:prstGeom prst="rect">
                      <a:avLst/>
                    </a:prstGeom>
                  </pic:spPr>
                </pic:pic>
              </a:graphicData>
            </a:graphic>
          </wp:anchor>
        </w:drawing>
      </w:r>
    </w:p>
    <w:p>
      <w:pPr>
        <w:pStyle w:val="0 Block"/>
      </w:pPr>
    </w:p>
    <w:p>
      <w:bookmarkStart w:id="197" w:name="Chapter_7_15"/>
      <w:pPr>
        <w:pStyle w:val="Heading 1"/>
        <w:pageBreakBefore w:val="on"/>
      </w:pPr>
      <w:r>
        <w:t>Chapter 7</w:t>
      </w:r>
      <w:bookmarkEnd w:id="197"/>
    </w:p>
    <w:p>
      <w:pPr>
        <w:pStyle w:val="Para 25"/>
      </w:pPr>
      <w:r>
        <w:t/>
      </w:r>
    </w:p>
    <w:p>
      <w:pPr>
        <w:pStyle w:val="Normal"/>
      </w:pPr>
      <w:r>
        <w:t xml:space="preserve">In KiXtart, you can access remote registries in much the same way by preceding with the </w:t>
      </w:r>
    </w:p>
    <w:p>
      <w:pPr>
        <w:pStyle w:val="Normal"/>
      </w:pPr>
      <w:r>
        <w:t xml:space="preserve">universal naming convention (UNC) path to the target system when identifying the subkey you </w:t>
      </w:r>
    </w:p>
    <w:p>
      <w:pPr>
        <w:pStyle w:val="Normal"/>
      </w:pPr>
      <w:r>
        <w:t xml:space="preserve">want to work with (the computer name preceded by two backslashes). Of the following examples, the first example shows the reading of a local registry value, and the second illustrates </w:t>
      </w:r>
    </w:p>
    <w:p>
      <w:pPr>
        <w:pStyle w:val="Normal"/>
      </w:pPr>
      <w:r>
        <w:t xml:space="preserve">the same action against a remote system by using its UNC name. </w:t>
      </w:r>
    </w:p>
    <w:p>
      <w:pPr>
        <w:pStyle w:val="Para 25"/>
      </w:pPr>
      <w:r>
        <w:t/>
      </w:r>
    </w:p>
    <w:p>
      <w:pPr>
        <w:pStyle w:val="Para 11"/>
      </w:pPr>
      <w:r>
        <w:t xml:space="preserve">$EditorVersion = ReadValue </w:t>
      </w:r>
    </w:p>
    <w:p>
      <w:pPr>
        <w:pStyle w:val="Para 11"/>
      </w:pPr>
      <w:r>
        <w:t xml:space="preserve">(“HKLM\SOFTWARE\iTripoli\KixscriptsEditor”, ”Version”) </w:t>
      </w:r>
    </w:p>
    <w:p>
      <w:pPr>
        <w:pStyle w:val="Para 11"/>
      </w:pPr>
      <w:r>
        <w:t xml:space="preserve">$EditorVersion = ReadValue </w:t>
      </w:r>
    </w:p>
    <w:p>
      <w:pPr>
        <w:pStyle w:val="Para 11"/>
      </w:pPr>
      <w:r>
        <w:t xml:space="preserve">(“\\computername\HKLM\SOFTWARE\iTripoli\KixscriptsEditor”, </w:t>
        <w:t xml:space="preserve">”Version”) </w:t>
      </w:r>
    </w:p>
    <w:p>
      <w:pPr>
        <w:pStyle w:val="Para 25"/>
      </w:pPr>
      <w:r>
        <w:t/>
      </w:r>
    </w:p>
    <w:p>
      <w:pPr>
        <w:pStyle w:val="Para 07"/>
      </w:pPr>
      <w:r>
        <w:t xml:space="preserve">Group Policy </w:t>
      </w:r>
    </w:p>
    <w:p>
      <w:pPr>
        <w:pStyle w:val="Normal"/>
      </w:pPr>
      <w:r>
        <w:t xml:space="preserve">Group Policy can target machines or users at startup (before the logon prompt is presented) or </w:t>
      </w:r>
    </w:p>
    <w:p>
      <w:pPr>
        <w:pStyle w:val="Normal"/>
      </w:pPr>
      <w:r>
        <w:t xml:space="preserve">during logon. Additionally, you can target scripts to specific domains, organizational units (OUs), or groups from within AD: </w:t>
      </w:r>
    </w:p>
    <w:p>
      <w:pPr>
        <w:pStyle w:val="Para 25"/>
      </w:pPr>
      <w:r>
        <w:t/>
      </w:r>
    </w:p>
    <w:p>
      <w:pPr>
        <w:pStyle w:val="Para 04"/>
      </w:pPr>
      <w:r>
        <w:t xml:space="preserve">• Logon—A logon script runs in the user context as a user logs on to a workstation. </w:t>
      </w:r>
    </w:p>
    <w:p>
      <w:pPr>
        <w:pStyle w:val="Para 25"/>
      </w:pPr>
      <w:r>
        <w:t/>
      </w:r>
    </w:p>
    <w:p>
      <w:pPr>
        <w:pStyle w:val="Para 04"/>
      </w:pPr>
      <w:r>
        <w:t xml:space="preserve">• Logoff—A logoff script runs in the user context as a user logs off of a workstation. </w:t>
      </w:r>
    </w:p>
    <w:p>
      <w:pPr>
        <w:pStyle w:val="Para 25"/>
      </w:pPr>
      <w:r>
        <w:t/>
      </w:r>
    </w:p>
    <w:p>
      <w:pPr>
        <w:pStyle w:val="Para 04"/>
      </w:pPr>
      <w:r>
        <w:t xml:space="preserve">• </w:t>
        <w:t xml:space="preserve">Startup—A startup script runs in the context of the local system account when a computer </w:t>
      </w:r>
    </w:p>
    <w:p>
      <w:pPr>
        <w:pStyle w:val="Para 01"/>
      </w:pPr>
      <w:r>
        <w:t xml:space="preserve">is started, before the opportunity to log on is presented. </w:t>
      </w:r>
    </w:p>
    <w:p>
      <w:pPr>
        <w:pStyle w:val="Para 25"/>
      </w:pPr>
      <w:r>
        <w:t/>
      </w:r>
    </w:p>
    <w:p>
      <w:pPr>
        <w:pStyle w:val="Para 04"/>
      </w:pPr>
      <w:r>
        <w:t xml:space="preserve">• </w:t>
        <w:t xml:space="preserve">Shutdown—A shutdown script runs in the context of the local system account when a </w:t>
      </w:r>
    </w:p>
    <w:p>
      <w:pPr>
        <w:pStyle w:val="Para 01"/>
      </w:pPr>
      <w:r>
        <w:t xml:space="preserve">computer is shutdown. </w:t>
      </w:r>
    </w:p>
    <w:p>
      <w:pPr>
        <w:pStyle w:val="Para 25"/>
      </w:pPr>
      <w:r>
        <w:t/>
      </w:r>
    </w:p>
    <w:p>
      <w:pPr>
        <w:pStyle w:val="Para 07"/>
      </w:pPr>
      <w:r>
        <w:t xml:space="preserve">Assigning Scripts </w:t>
      </w:r>
    </w:p>
    <w:p>
      <w:pPr>
        <w:pStyle w:val="Normal"/>
      </w:pPr>
      <w:r>
        <w:t xml:space="preserve">On networks that have implemented AD, the preferred method of configuring logon scripts is to assign them via Group Policy. To do so: </w:t>
      </w:r>
    </w:p>
    <w:p>
      <w:pPr>
        <w:pStyle w:val="Para 25"/>
      </w:pPr>
      <w:r>
        <w:t/>
      </w:r>
    </w:p>
    <w:p>
      <w:pPr>
        <w:pStyle w:val="Para 04"/>
      </w:pPr>
      <w:r>
        <w:rPr>
          <w:rStyle w:val="Text1"/>
        </w:rPr>
        <w:t xml:space="preserve">72. </w:t>
      </w:r>
      <w:r>
        <w:t xml:space="preserve">Open the Group Policy snap-in (in Administrative Tools, Active Directory Users and </w:t>
      </w:r>
    </w:p>
    <w:p>
      <w:pPr>
        <w:pStyle w:val="Para 01"/>
      </w:pPr>
      <w:r>
        <w:t xml:space="preserve">Computers). </w:t>
      </w:r>
    </w:p>
    <w:p>
      <w:pPr>
        <w:pStyle w:val="Para 25"/>
      </w:pPr>
      <w:r>
        <w:t/>
      </w:r>
    </w:p>
    <w:p>
      <w:pPr>
        <w:pStyle w:val="Para 04"/>
      </w:pPr>
      <w:r>
        <w:rPr>
          <w:rStyle w:val="Text1"/>
        </w:rPr>
        <w:t xml:space="preserve">73. </w:t>
      </w:r>
      <w:r>
        <w:t xml:space="preserve">Right-click the OU (in the console tree) to which you want to assign the logon script. For </w:t>
      </w:r>
    </w:p>
    <w:p>
      <w:pPr>
        <w:pStyle w:val="Para 01"/>
      </w:pPr>
      <w:r>
        <w:t xml:space="preserve">all members of the domain, right-click the domain. </w:t>
      </w:r>
    </w:p>
    <w:p>
      <w:pPr>
        <w:pStyle w:val="Para 25"/>
      </w:pPr>
      <w:r>
        <w:t/>
      </w:r>
    </w:p>
    <w:p>
      <w:pPr>
        <w:pStyle w:val="Para 04"/>
      </w:pPr>
      <w:r>
        <w:rPr>
          <w:rStyle w:val="Text1"/>
        </w:rPr>
        <w:t xml:space="preserve">74. </w:t>
      </w:r>
      <w:r>
        <w:t xml:space="preserve">Select Properties, and select the Group Policy tab. </w:t>
      </w:r>
    </w:p>
    <w:p>
      <w:pPr>
        <w:pStyle w:val="Para 25"/>
      </w:pPr>
      <w:r>
        <w:t/>
      </w:r>
    </w:p>
    <w:p>
      <w:pPr>
        <w:pStyle w:val="Para 04"/>
      </w:pPr>
      <w:r>
        <w:rPr>
          <w:rStyle w:val="Text1"/>
        </w:rPr>
        <w:t xml:space="preserve">75. </w:t>
      </w:r>
      <w:r>
        <w:t xml:space="preserve">Create a new Group Policy Object (GPO) by clicking New or choose an existing GPO, </w:t>
      </w:r>
    </w:p>
    <w:p>
      <w:pPr>
        <w:pStyle w:val="Para 01"/>
      </w:pPr>
      <w:r>
        <w:t xml:space="preserve">and click Edit. </w:t>
      </w:r>
    </w:p>
    <w:p>
      <w:pPr>
        <w:pStyle w:val="Para 25"/>
      </w:pPr>
      <w:r>
        <w:t/>
      </w:r>
    </w:p>
    <w:p>
      <w:pPr>
        <w:pStyle w:val="Para 04"/>
      </w:pPr>
      <w:r>
        <w:rPr>
          <w:rStyle w:val="Text1"/>
        </w:rPr>
        <w:t xml:space="preserve">76. </w:t>
      </w:r>
      <w:r>
        <w:t xml:space="preserve">Double-click Logon in the right pane under User Configuration/Windows </w:t>
      </w:r>
    </w:p>
    <w:p>
      <w:pPr>
        <w:pStyle w:val="Para 01"/>
      </w:pPr>
      <w:r>
        <w:t xml:space="preserve">Settings/Scripts. </w:t>
      </w:r>
    </w:p>
    <w:p>
      <w:pPr>
        <w:pStyle w:val="Para 25"/>
      </w:pPr>
      <w:r>
        <w:t/>
      </w:r>
    </w:p>
    <w:p>
      <w:pPr>
        <w:pStyle w:val="Para 04"/>
      </w:pPr>
      <w:r>
        <w:rPr>
          <w:rStyle w:val="Text1"/>
        </w:rPr>
        <w:t xml:space="preserve">77. </w:t>
      </w:r>
      <w:r>
        <w:t xml:space="preserve">Click Add. Notice that a browse dialog box appears for selection of a file from within the </w:t>
      </w:r>
    </w:p>
    <w:p>
      <w:pPr>
        <w:pStyle w:val="Para 01"/>
      </w:pPr>
      <w:r>
        <w:t xml:space="preserve">GPO directory. </w:t>
      </w:r>
    </w:p>
    <w:p>
      <w:pPr>
        <w:pStyle w:val="Para 25"/>
      </w:pPr>
      <w:r>
        <w:t/>
      </w:r>
    </w:p>
    <w:p>
      <w:pPr>
        <w:pStyle w:val="Para 04"/>
      </w:pPr>
      <w:r>
        <w:rPr>
          <w:rStyle w:val="Text1"/>
        </w:rPr>
        <w:t xml:space="preserve">78. </w:t>
      </w:r>
      <w:r>
        <w:t xml:space="preserve">Copy and paste your script into this browse dialog box to make it available to the GPO, if </w:t>
      </w:r>
    </w:p>
    <w:p>
      <w:pPr>
        <w:pStyle w:val="Para 01"/>
      </w:pPr>
      <w:r>
        <w:t xml:space="preserve">you have not already done so. If you are using a scripting language that is not installed </w:t>
      </w:r>
    </w:p>
    <w:p>
      <w:pPr>
        <w:pStyle w:val="Para 01"/>
      </w:pPr>
      <w:r>
        <w:t xml:space="preserve">and requires a support file (such as KiXtart’s kix32.exe), include this as well.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38" name="index-189_1.png" descr="index-189_1.png"/>
            <wp:cNvGraphicFramePr>
              <a:graphicFrameLocks noChangeAspect="1"/>
            </wp:cNvGraphicFramePr>
            <a:graphic>
              <a:graphicData uri="http://schemas.openxmlformats.org/drawingml/2006/picture">
                <pic:pic>
                  <pic:nvPicPr>
                    <pic:cNvPr id="0" name="index-189_1.png" descr="index-189_1.png"/>
                    <pic:cNvPicPr/>
                  </pic:nvPicPr>
                  <pic:blipFill>
                    <a:blip r:embed="rId44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39" name="index-189_2.png" descr="index-189_2.png"/>
            <wp:cNvGraphicFramePr>
              <a:graphicFrameLocks noChangeAspect="1"/>
            </wp:cNvGraphicFramePr>
            <a:graphic>
              <a:graphicData uri="http://schemas.openxmlformats.org/drawingml/2006/picture">
                <pic:pic>
                  <pic:nvPicPr>
                    <pic:cNvPr id="0" name="index-189_2.png" descr="index-189_2.png"/>
                    <pic:cNvPicPr/>
                  </pic:nvPicPr>
                  <pic:blipFill>
                    <a:blip r:embed="rId443"/>
                    <a:stretch>
                      <a:fillRect/>
                    </a:stretch>
                  </pic:blipFill>
                  <pic:spPr>
                    <a:xfrm>
                      <a:off x="0" y="0"/>
                      <a:ext cx="914400" cy="444500"/>
                    </a:xfrm>
                    <a:prstGeom prst="rect">
                      <a:avLst/>
                    </a:prstGeom>
                  </pic:spPr>
                </pic:pic>
              </a:graphicData>
            </a:graphic>
          </wp:anchor>
        </w:drawing>
      </w:r>
    </w:p>
    <w:p>
      <w:pPr>
        <w:pStyle w:val="0 Block"/>
      </w:pPr>
    </w:p>
    <w:p>
      <w:bookmarkStart w:id="198" w:name="Chapter_7_16"/>
      <w:pPr>
        <w:pStyle w:val="Heading 1"/>
        <w:pageBreakBefore w:val="on"/>
      </w:pPr>
      <w:r>
        <w:t>Chapter 7</w:t>
      </w:r>
      <w:bookmarkEnd w:id="198"/>
    </w:p>
    <w:p>
      <w:pPr>
        <w:pStyle w:val="Para 25"/>
      </w:pPr>
      <w:r>
        <w:t/>
      </w:r>
    </w:p>
    <w:p>
      <w:pPr>
        <w:pStyle w:val="Para 04"/>
      </w:pPr>
      <w:r>
        <w:rPr>
          <w:rStyle w:val="Text1"/>
        </w:rPr>
        <w:t xml:space="preserve">79. </w:t>
      </w:r>
      <w:r>
        <w:t xml:space="preserve">Select the script to be run as your script name. If you’re using a language that uses an </w:t>
      </w:r>
    </w:p>
    <w:p>
      <w:pPr>
        <w:pStyle w:val="Para 01"/>
      </w:pPr>
      <w:r>
        <w:t xml:space="preserve">executable file to process the script, set that as the script name and use the parameters </w:t>
      </w:r>
    </w:p>
    <w:p>
      <w:pPr>
        <w:pStyle w:val="Para 01"/>
      </w:pPr>
      <w:r>
        <w:t xml:space="preserve">text box to enter the name of the script file. If you assign multiple scripts, the scripts are processed according to the order that you specify. To move a script in the list, click the </w:t>
      </w:r>
    </w:p>
    <w:p>
      <w:pPr>
        <w:pStyle w:val="Para 01"/>
      </w:pPr>
      <w:r>
        <w:t xml:space="preserve">script, then click either Up or Down. </w:t>
      </w:r>
    </w:p>
    <w:p>
      <w:pPr>
        <w:pStyle w:val="Para 25"/>
      </w:pPr>
      <w:r>
        <w:t/>
      </w:r>
    </w:p>
    <w:p>
      <w:pPr>
        <w:pStyle w:val="Para 19"/>
      </w:pPr>
      <w:r>
        <w:t xml:space="preserve">Avoiding Repeated Executions </w:t>
      </w:r>
    </w:p>
    <w:p>
      <w:pPr>
        <w:pStyle w:val="Para 03"/>
      </w:pPr>
      <w:r>
        <w:t xml:space="preserve">Because scripts assigned to a user will always execute, it is important to add a condition for execution </w:t>
        <w:t xml:space="preserve">when dealing with scripts that you do not want to run again and again. One method is to look for the result </w:t>
        <w:t xml:space="preserve">of the script you are trying to run. For example, if a logon script is to map a drive to a network share, the </w:t>
        <w:t xml:space="preserve">script can base this action on whether the drive is already mapped to the desired share. Another method </w:t>
        <w:t xml:space="preserve">is to drop a </w:t>
      </w:r>
      <w:r>
        <w:rPr>
          <w:rStyle w:val="Text0"/>
        </w:rPr>
        <w:t>footprint</w:t>
      </w:r>
      <w:r>
        <w:t xml:space="preserve"> that indicates an action has taken place. A footprint is a term used to indicate </w:t>
        <w:t xml:space="preserve">something left behind in this way (such as a file or registry entry). </w:t>
      </w:r>
    </w:p>
    <w:p>
      <w:pPr>
        <w:pStyle w:val="Para 03"/>
      </w:pPr>
      <w:r>
        <w:t xml:space="preserve">Using a registry entry, the following KiXtart script checks to see whether the current date has been </w:t>
        <w:t xml:space="preserve">updated by this script today. If it has not, the script records the current date, then executes the script. </w:t>
        <w:t xml:space="preserve">When the script is executed again on the same day, the date will match and the script will not be called. </w:t>
      </w:r>
    </w:p>
    <w:p>
      <w:pPr>
        <w:pStyle w:val="Para 25"/>
      </w:pPr>
      <w:r>
        <w:t/>
      </w:r>
    </w:p>
    <w:p>
      <w:pPr>
        <w:pStyle w:val="Para 03"/>
      </w:pPr>
      <w:r>
        <w:t xml:space="preserve">If ReadValue("HKCU\Software\Scripts","TimeCardReminder.kix") &lt;&gt; @DATE </w:t>
      </w:r>
    </w:p>
    <w:p>
      <w:pPr>
        <w:pStyle w:val="Para 25"/>
      </w:pPr>
      <w:r>
        <w:t/>
      </w:r>
    </w:p>
    <w:p>
      <w:pPr>
        <w:pStyle w:val="Para 03"/>
      </w:pPr>
      <w:r>
        <w:t xml:space="preserve"> $rc </w:t>
        <w:t xml:space="preserve">= </w:t>
      </w:r>
    </w:p>
    <w:p>
      <w:pPr>
        <w:pStyle w:val="Para 03"/>
      </w:pPr>
      <w:r>
        <w:t>WriteValue("HKCU\Software\Scripts","TimeCardReminder.kix","@DATE","REG</w:t>
      </w:r>
      <w:r>
        <w:rPr>
          <w:rStyle w:val="Text2"/>
        </w:rPr>
        <w:t xml:space="preserve"> </w:t>
      </w:r>
      <w:r>
        <w:t xml:space="preserve">_SZ") </w:t>
      </w:r>
    </w:p>
    <w:p>
      <w:pPr>
        <w:pStyle w:val="Para 25"/>
      </w:pPr>
      <w:r>
        <w:t/>
      </w:r>
    </w:p>
    <w:p>
      <w:pPr>
        <w:pStyle w:val="Para 03"/>
      </w:pPr>
      <w:r>
        <w:t xml:space="preserve"> Call </w:t>
        <w:t xml:space="preserve">"TimeCardReminder.kix" </w:t>
      </w:r>
    </w:p>
    <w:p>
      <w:pPr>
        <w:pStyle w:val="Para 25"/>
      </w:pPr>
      <w:r>
        <w:t/>
      </w:r>
    </w:p>
    <w:p>
      <w:pPr>
        <w:pStyle w:val="Para 03"/>
      </w:pPr>
      <w:r>
        <w:t xml:space="preserve">EndIf </w:t>
      </w:r>
    </w:p>
    <w:p>
      <w:pPr>
        <w:pStyle w:val="Para 03"/>
      </w:pPr>
      <w:r>
        <w:t xml:space="preserve">Using a registry key, the script will check to see whether the script has been executed before. If the word </w:t>
        <w:t xml:space="preserve">Executed is not found in a registry value being used to identify a script that should only be run one time, </w:t>
        <w:t xml:space="preserve">the script is executed and the registry is updated to reflect it. When run in the future, the value will exist, </w:t>
        <w:t xml:space="preserve">and the script call will always be skipped: </w:t>
      </w:r>
    </w:p>
    <w:p>
      <w:pPr>
        <w:pStyle w:val="Para 25"/>
      </w:pPr>
      <w:r>
        <w:t/>
      </w:r>
    </w:p>
    <w:p>
      <w:pPr>
        <w:pStyle w:val="Para 03"/>
      </w:pPr>
      <w:r>
        <w:t xml:space="preserve">If ReadValue("HKCU\Software\Scripts","Acknowledgement.kix") &lt;&gt; </w:t>
        <w:t xml:space="preserve">"Executed" </w:t>
      </w:r>
    </w:p>
    <w:p>
      <w:pPr>
        <w:pStyle w:val="Para 25"/>
      </w:pPr>
      <w:r>
        <w:t/>
      </w:r>
    </w:p>
    <w:p>
      <w:pPr>
        <w:pStyle w:val="Para 03"/>
      </w:pPr>
      <w:r>
        <w:t xml:space="preserve"> $rc </w:t>
        <w:t xml:space="preserve">= </w:t>
      </w:r>
    </w:p>
    <w:p>
      <w:pPr>
        <w:pStyle w:val="Para 03"/>
      </w:pPr>
      <w:r>
        <w:t>WriteValue("HKCU\Software\Scripts","Acknowledgement.kix","Executed","R</w:t>
      </w:r>
      <w:r>
        <w:rPr>
          <w:rStyle w:val="Text2"/>
        </w:rPr>
        <w:t xml:space="preserve"> </w:t>
      </w:r>
      <w:r>
        <w:t xml:space="preserve">EG_SZ") </w:t>
      </w:r>
    </w:p>
    <w:p>
      <w:pPr>
        <w:pStyle w:val="Para 25"/>
      </w:pPr>
      <w:r>
        <w:t/>
      </w:r>
    </w:p>
    <w:p>
      <w:pPr>
        <w:pStyle w:val="Para 03"/>
      </w:pPr>
      <w:r>
        <w:t xml:space="preserve"> Call </w:t>
        <w:t xml:space="preserve">"Acknowledgement.kix" </w:t>
      </w:r>
    </w:p>
    <w:p>
      <w:pPr>
        <w:pStyle w:val="Para 25"/>
      </w:pPr>
      <w:r>
        <w:t/>
      </w:r>
    </w:p>
    <w:p>
      <w:pPr>
        <w:pStyle w:val="Para 03"/>
      </w:pPr>
      <w:r>
        <w:t xml:space="preserve">EndIf </w:t>
      </w:r>
    </w:p>
    <w:p>
      <w:pPr>
        <w:pStyle w:val="Para 25"/>
      </w:pPr>
      <w:r>
        <w:t/>
      </w:r>
    </w:p>
    <w:p>
      <w:pPr>
        <w:pStyle w:val="Para 12"/>
      </w:pPr>
      <w:r>
        <w:t xml:space="preserve">Building Lists </w:t>
      </w:r>
    </w:p>
    <w:p>
      <w:pPr>
        <w:pStyle w:val="Para 25"/>
      </w:pPr>
      <w:r>
        <w:t/>
      </w:r>
    </w:p>
    <w:p>
      <w:pPr>
        <w:pStyle w:val="Normal"/>
      </w:pPr>
      <w:r>
        <w:t xml:space="preserve">Tackling a project is the best way to get started in scripting, so let’s get right into it with a </w:t>
      </w:r>
    </w:p>
    <w:p>
      <w:pPr>
        <w:pStyle w:val="Normal"/>
      </w:pPr>
      <w:r>
        <w:t xml:space="preserve">common first step in many administrative scripts, building a list. To run an operation against </w:t>
      </w:r>
    </w:p>
    <w:p>
      <w:pPr>
        <w:pStyle w:val="Normal"/>
      </w:pPr>
      <w:r>
        <w:t xml:space="preserve">several client workstations, it is common to base such actions against a list of machines. Although the same script can create the list and perform the desired action, it is common to </w:t>
      </w:r>
    </w:p>
    <w:p>
      <w:pPr>
        <w:pStyle w:val="Normal"/>
      </w:pPr>
      <w:r>
        <w:t xml:space="preserve">dynamically perform actions against the list gathered without actually writing the machines to a </w:t>
      </w:r>
    </w:p>
    <w:p>
      <w:pPr>
        <w:pStyle w:val="Normal"/>
      </w:pPr>
      <w:r>
        <w:t xml:space="preserve">list file. However, to keep the examples in this book shorter and more useful, I will separate the </w:t>
      </w:r>
    </w:p>
    <w:p>
      <w:pPr>
        <w:pStyle w:val="Normal"/>
      </w:pPr>
      <w:r>
        <w:t xml:space="preserve">task of creating a list of machines with that of the scripts that follow, which will utilize the lists. </w:t>
      </w:r>
    </w:p>
    <w:p>
      <w:pPr>
        <w:pStyle w:val="Para 25"/>
      </w:pPr>
      <w:r>
        <w:t/>
      </w:r>
    </w:p>
    <w:p>
      <w:pPr>
        <w:pStyle w:val="Para 29"/>
      </w:pPr>
      <w:r>
        <w:rPr>
          <w:rStyle w:val="Text0"/>
        </w:rPr>
        <w:t xml:space="preserve">For a comprehensive look at KiXtart, see </w:t>
      </w:r>
      <w:r>
        <w:t>The Start to Finish Guide to Scripting with KiXtart</w:t>
      </w:r>
      <w:r>
        <w:rPr>
          <w:rStyle w:val="Text0"/>
        </w:rPr>
        <w:t xml:space="preserve"> at </w:t>
      </w:r>
    </w:p>
    <w:p>
      <w:pPr>
        <w:pStyle w:val="Para 02"/>
      </w:pPr>
      <w:r>
        <w:t>http://www.kixscripts.com/book</w:t>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40" name="index-190_1.png" descr="index-190_1.png"/>
            <wp:cNvGraphicFramePr>
              <a:graphicFrameLocks noChangeAspect="1"/>
            </wp:cNvGraphicFramePr>
            <a:graphic>
              <a:graphicData uri="http://schemas.openxmlformats.org/drawingml/2006/picture">
                <pic:pic>
                  <pic:nvPicPr>
                    <pic:cNvPr id="0" name="index-190_1.png" descr="index-190_1.png"/>
                    <pic:cNvPicPr/>
                  </pic:nvPicPr>
                  <pic:blipFill>
                    <a:blip r:embed="rId44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41" name="index-190_2.png" descr="index-190_2.png"/>
            <wp:cNvGraphicFramePr>
              <a:graphicFrameLocks noChangeAspect="1"/>
            </wp:cNvGraphicFramePr>
            <a:graphic>
              <a:graphicData uri="http://schemas.openxmlformats.org/drawingml/2006/picture">
                <pic:pic>
                  <pic:nvPicPr>
                    <pic:cNvPr id="0" name="index-190_2.png" descr="index-190_2.png"/>
                    <pic:cNvPicPr/>
                  </pic:nvPicPr>
                  <pic:blipFill>
                    <a:blip r:embed="rId445"/>
                    <a:stretch>
                      <a:fillRect/>
                    </a:stretch>
                  </pic:blipFill>
                  <pic:spPr>
                    <a:xfrm>
                      <a:off x="0" y="0"/>
                      <a:ext cx="914400" cy="444500"/>
                    </a:xfrm>
                    <a:prstGeom prst="rect">
                      <a:avLst/>
                    </a:prstGeom>
                  </pic:spPr>
                </pic:pic>
              </a:graphicData>
            </a:graphic>
          </wp:anchor>
        </w:drawing>
      </w:r>
    </w:p>
    <w:p>
      <w:pPr>
        <w:pStyle w:val="0 Block"/>
      </w:pPr>
    </w:p>
    <w:p>
      <w:bookmarkStart w:id="199" w:name="Chapter_7_17"/>
      <w:pPr>
        <w:pStyle w:val="Heading 1"/>
        <w:pageBreakBefore w:val="on"/>
      </w:pPr>
      <w:r>
        <w:t>Chapter 7</w:t>
      </w:r>
      <w:bookmarkEnd w:id="199"/>
    </w:p>
    <w:p>
      <w:pPr>
        <w:pStyle w:val="Para 25"/>
      </w:pPr>
      <w:r>
        <w:t/>
      </w:r>
    </w:p>
    <w:p>
      <w:pPr>
        <w:pStyle w:val="Para 07"/>
      </w:pPr>
      <w:r>
        <w:t xml:space="preserve">Machine List </w:t>
      </w:r>
    </w:p>
    <w:p>
      <w:pPr>
        <w:pStyle w:val="Normal"/>
      </w:pPr>
      <w:r>
        <w:t xml:space="preserve">Depending upon your environment, you can go about creating a machine list in a number of </w:t>
      </w:r>
    </w:p>
    <w:p>
      <w:pPr>
        <w:pStyle w:val="Normal"/>
      </w:pPr>
      <w:r>
        <w:t xml:space="preserve">ways. In an AD environment, you would probably utilize your OU structure to target systems. </w:t>
      </w:r>
    </w:p>
    <w:p>
      <w:pPr>
        <w:pStyle w:val="Normal"/>
      </w:pPr>
      <w:r>
        <w:t xml:space="preserve">You may also make use of the Windows network browse list to retrieve workstation names. I’ll </w:t>
      </w:r>
    </w:p>
    <w:p>
      <w:pPr>
        <w:pStyle w:val="Normal"/>
      </w:pPr>
      <w:r>
        <w:t xml:space="preserve">discuss and show you examples of these options in the following sections. </w:t>
      </w:r>
    </w:p>
    <w:p>
      <w:pPr>
        <w:pStyle w:val="Para 25"/>
      </w:pPr>
      <w:r>
        <w:t/>
      </w:r>
    </w:p>
    <w:p>
      <w:pPr>
        <w:pStyle w:val="Para 09"/>
      </w:pPr>
      <w:r>
        <w:t xml:space="preserve">AD </w:t>
      </w:r>
    </w:p>
    <w:p>
      <w:pPr>
        <w:pStyle w:val="Para 25"/>
      </w:pPr>
      <w:r>
        <w:t/>
      </w:r>
    </w:p>
    <w:p>
      <w:pPr>
        <w:pStyle w:val="Normal"/>
      </w:pPr>
      <w:r>
        <w:t xml:space="preserve">For organizations that have taken on the effort of creating an AD domain, there is typically </w:t>
      </w:r>
    </w:p>
    <w:p>
      <w:pPr>
        <w:pStyle w:val="Normal"/>
      </w:pPr>
      <w:r>
        <w:t xml:space="preserve">extensive planning involved. Therefore, making use of that planned structure is often a worthwhile approach to targeting systems with scripts. Aside from utilizing Group Policy to </w:t>
      </w:r>
    </w:p>
    <w:p>
      <w:pPr>
        <w:pStyle w:val="Normal"/>
      </w:pPr>
      <w:r>
        <w:t xml:space="preserve">assign scripts to desired systems, you can use your AD structure to build a desired list of </w:t>
      </w:r>
    </w:p>
    <w:p>
      <w:pPr>
        <w:pStyle w:val="Normal"/>
      </w:pPr>
      <w:r>
        <w:t xml:space="preserve">machines, which you can then use to perform actions on computers remotely from a manually executed script. For example, in the script that Listing 7.4 shows, KiXtart is used to write the </w:t>
      </w:r>
    </w:p>
    <w:p>
      <w:pPr>
        <w:pStyle w:val="Normal"/>
      </w:pPr>
      <w:r>
        <w:t xml:space="preserve">machines found in AD to a file named machines.txt in the Windows Temp folder. </w:t>
      </w:r>
    </w:p>
    <w:p>
      <w:pPr>
        <w:pStyle w:val="Para 25"/>
      </w:pPr>
      <w:r>
        <w:t/>
      </w:r>
    </w:p>
    <w:p>
      <w:pPr>
        <w:pStyle w:val="Para 03"/>
      </w:pPr>
      <w:r>
        <w:t xml:space="preserve">$rc = Open (1, "%TEMP%\Machines.txt", 5) </w:t>
      </w:r>
    </w:p>
    <w:p>
      <w:pPr>
        <w:pStyle w:val="Para 03"/>
      </w:pPr>
      <w:r>
        <w:t xml:space="preserve"> $Container = GetObject ("LDAP://cn=computers, dc=intranet, </w:t>
        <w:t xml:space="preserve">dc=appdeploy, dc=com") </w:t>
      </w:r>
    </w:p>
    <w:p>
      <w:pPr>
        <w:pStyle w:val="Para 03"/>
      </w:pPr>
      <w:r>
        <w:t xml:space="preserve"> For Each $Computer In $Container </w:t>
      </w:r>
    </w:p>
    <w:p>
      <w:pPr>
        <w:pStyle w:val="Para 11"/>
      </w:pPr>
      <w:r>
        <w:t xml:space="preserve">If $Computer.class = "Computer" </w:t>
      </w:r>
    </w:p>
    <w:p>
      <w:pPr>
        <w:pStyle w:val="Para 03"/>
      </w:pPr>
      <w:r>
        <w:t xml:space="preserve"> $ComputerName </w:t>
        <w:t xml:space="preserve">= </w:t>
      </w:r>
    </w:p>
    <w:p>
      <w:pPr>
        <w:pStyle w:val="Para 03"/>
      </w:pPr>
      <w:r>
        <w:t xml:space="preserve">SubStr($Computer.Name,4,Len($Computer.Name)) </w:t>
      </w:r>
    </w:p>
    <w:p>
      <w:pPr>
        <w:pStyle w:val="Para 15"/>
      </w:pPr>
      <w:r>
        <w:t xml:space="preserve">$ = WriteLine (1, $ComputerName + @CRLF) </w:t>
      </w:r>
    </w:p>
    <w:p>
      <w:pPr>
        <w:pStyle w:val="Para 03"/>
      </w:pPr>
      <w:r>
        <w:t xml:space="preserve"> EndIf </w:t>
      </w:r>
    </w:p>
    <w:p>
      <w:pPr>
        <w:pStyle w:val="Para 03"/>
      </w:pPr>
      <w:r>
        <w:t xml:space="preserve"> Next </w:t>
      </w:r>
    </w:p>
    <w:p>
      <w:pPr>
        <w:pStyle w:val="Para 03"/>
      </w:pPr>
      <w:r>
        <w:t xml:space="preserve"> $rc = Close (1) </w:t>
      </w:r>
    </w:p>
    <w:p>
      <w:pPr>
        <w:pStyle w:val="Para 25"/>
      </w:pPr>
      <w:r>
        <w:t/>
      </w:r>
    </w:p>
    <w:p>
      <w:pPr>
        <w:pStyle w:val="Para 10"/>
      </w:pPr>
      <w:r>
        <w:t xml:space="preserve">Listing 7.4: Using KiXtart to write machines found in AD to the machines.txt file in the Windows Temp folder. </w:t>
      </w:r>
    </w:p>
    <w:p>
      <w:pPr>
        <w:pStyle w:val="Para 25"/>
      </w:pPr>
      <w:r>
        <w:t/>
      </w:r>
    </w:p>
    <w:p>
      <w:pPr>
        <w:pStyle w:val="Normal"/>
      </w:pPr>
      <w:r>
        <w:t xml:space="preserve">In the open statement, the number one is a handle used to identify this file later in the script. The </w:t>
      </w:r>
    </w:p>
    <w:p>
      <w:pPr>
        <w:pStyle w:val="Normal"/>
      </w:pPr>
      <w:r>
        <w:t xml:space="preserve">number five tells KiXtart to create the file if it does not already exist and to open the file for </w:t>
      </w:r>
    </w:p>
    <w:p>
      <w:pPr>
        <w:pStyle w:val="Normal"/>
      </w:pPr>
      <w:r>
        <w:t xml:space="preserve">writing. An object is created to the computer container, as specified in the LDAP string (for information about how to create an LDAP query string, see the sidebar “Constructing an LDAP </w:t>
      </w:r>
    </w:p>
    <w:p>
      <w:pPr>
        <w:pStyle w:val="Normal"/>
      </w:pPr>
      <w:r>
        <w:t xml:space="preserve">Query String”). The class property identifies whether a computer is a computer, group, and so </w:t>
      </w:r>
    </w:p>
    <w:p>
      <w:pPr>
        <w:pStyle w:val="Normal"/>
      </w:pPr>
      <w:r>
        <w:t xml:space="preserve">on. Because the computer name is returned as CN=MyComputer, we use the SubStr function to create a new string ($ComputerName) to reflect all characters from the fourth character to the </w:t>
      </w:r>
    </w:p>
    <w:p>
      <w:pPr>
        <w:pStyle w:val="Normal"/>
      </w:pPr>
      <w:r>
        <w:t xml:space="preserve">end of the string (thereby stripping the CN= portion of the name from the string). Next, we write </w:t>
      </w:r>
    </w:p>
    <w:p>
      <w:pPr>
        <w:pStyle w:val="Normal"/>
      </w:pPr>
      <w:r>
        <w:t xml:space="preserve">this to the file opened earlier as 1, and include the macro variable @CRLF, which identifies a </w:t>
      </w:r>
    </w:p>
    <w:p>
      <w:pPr>
        <w:pStyle w:val="Normal"/>
      </w:pPr>
      <w:r>
        <w:t xml:space="preserve">carriage return and line feed (otherwise all computer names would appear on one long line). Once each item in the $Container object is processed, the machines.txt file is closed.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42" name="index-191_1.png" descr="index-191_1.png"/>
            <wp:cNvGraphicFramePr>
              <a:graphicFrameLocks noChangeAspect="1"/>
            </wp:cNvGraphicFramePr>
            <a:graphic>
              <a:graphicData uri="http://schemas.openxmlformats.org/drawingml/2006/picture">
                <pic:pic>
                  <pic:nvPicPr>
                    <pic:cNvPr id="0" name="index-191_1.png" descr="index-191_1.png"/>
                    <pic:cNvPicPr/>
                  </pic:nvPicPr>
                  <pic:blipFill>
                    <a:blip r:embed="rId44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43" name="index-191_2.png" descr="index-191_2.png"/>
            <wp:cNvGraphicFramePr>
              <a:graphicFrameLocks noChangeAspect="1"/>
            </wp:cNvGraphicFramePr>
            <a:graphic>
              <a:graphicData uri="http://schemas.openxmlformats.org/drawingml/2006/picture">
                <pic:pic>
                  <pic:nvPicPr>
                    <pic:cNvPr id="0" name="index-191_2.png" descr="index-191_2.png"/>
                    <pic:cNvPicPr/>
                  </pic:nvPicPr>
                  <pic:blipFill>
                    <a:blip r:embed="rId447"/>
                    <a:stretch>
                      <a:fillRect/>
                    </a:stretch>
                  </pic:blipFill>
                  <pic:spPr>
                    <a:xfrm>
                      <a:off x="0" y="0"/>
                      <a:ext cx="914400" cy="444500"/>
                    </a:xfrm>
                    <a:prstGeom prst="rect">
                      <a:avLst/>
                    </a:prstGeom>
                  </pic:spPr>
                </pic:pic>
              </a:graphicData>
            </a:graphic>
          </wp:anchor>
        </w:drawing>
      </w:r>
    </w:p>
    <w:p>
      <w:pPr>
        <w:pStyle w:val="0 Block"/>
      </w:pPr>
    </w:p>
    <w:p>
      <w:bookmarkStart w:id="200" w:name="Chapter_7_18"/>
      <w:pPr>
        <w:pStyle w:val="Heading 1"/>
        <w:pageBreakBefore w:val="on"/>
      </w:pPr>
      <w:r>
        <w:t>Chapter 7</w:t>
      </w:r>
      <w:bookmarkEnd w:id="200"/>
    </w:p>
    <w:p>
      <w:pPr>
        <w:pStyle w:val="Para 25"/>
      </w:pPr>
      <w:r>
        <w:t/>
      </w:r>
    </w:p>
    <w:p>
      <w:pPr>
        <w:pStyle w:val="Para 19"/>
      </w:pPr>
      <w:r>
        <w:t xml:space="preserve">Constructing an LDAP Query String </w:t>
      </w:r>
    </w:p>
    <w:p>
      <w:pPr>
        <w:pStyle w:val="Para 03"/>
      </w:pPr>
      <w:r>
        <w:t xml:space="preserve">For beginners, the most difficult part about this script is getting the LDAP query string format correct. This </w:t>
        <w:t xml:space="preserve">task is not so difficult once you do it a few times. </w:t>
      </w:r>
    </w:p>
    <w:p>
      <w:pPr>
        <w:pStyle w:val="Para 25"/>
      </w:pPr>
      <w:r>
        <w:t/>
      </w:r>
    </w:p>
    <w:p>
      <w:pPr>
        <w:pStyle w:val="Para 03"/>
      </w:pPr>
      <w:r>
        <w:t xml:space="preserve">LDAP:// </w:t>
      </w:r>
    </w:p>
    <w:p>
      <w:pPr>
        <w:pStyle w:val="Para 03"/>
      </w:pPr>
      <w:r>
        <w:t xml:space="preserve">specifies the provider type. </w:t>
      </w:r>
    </w:p>
    <w:p>
      <w:pPr>
        <w:pStyle w:val="Para 25"/>
      </w:pPr>
      <w:r>
        <w:t/>
      </w:r>
    </w:p>
    <w:p>
      <w:pPr>
        <w:pStyle w:val="Para 03"/>
      </w:pPr>
      <w:r>
        <w:t xml:space="preserve">cn=computers </w:t>
      </w:r>
    </w:p>
    <w:p>
      <w:pPr>
        <w:pStyle w:val="Para 03"/>
      </w:pPr>
      <w:r>
        <w:t xml:space="preserve">refers to the default container in AD. I chose this container because it is where all computer objects are </w:t>
        <w:t xml:space="preserve">placed by default. If you want to use actual OUs, then the cn= must change to ou=. The cn= is only for the </w:t>
        <w:t xml:space="preserve">default containers. You can distinguish the default containers, as they don't have the OU icon on them </w:t>
        <w:t xml:space="preserve">(unlike the ones you create). If the container you want to specify is more than one level deep, you must </w:t>
        <w:t xml:space="preserve">always start with the most specific container first. For example, ou=subOU, ou=higherlevelOU. </w:t>
      </w:r>
    </w:p>
    <w:p>
      <w:pPr>
        <w:pStyle w:val="Para 25"/>
      </w:pPr>
      <w:r>
        <w:t/>
      </w:r>
    </w:p>
    <w:p>
      <w:pPr>
        <w:pStyle w:val="Para 03"/>
      </w:pPr>
      <w:r>
        <w:t xml:space="preserve">dc= </w:t>
      </w:r>
    </w:p>
    <w:p>
      <w:pPr>
        <w:pStyle w:val="Para 03"/>
      </w:pPr>
      <w:r>
        <w:t xml:space="preserve">specifies the DNS domain name. As with OUs, each level must start with dc=, and each level must be </w:t>
        <w:t xml:space="preserve">comma separated. For example, intranet.appdeploy.com would be entered as </w:t>
      </w:r>
    </w:p>
    <w:p>
      <w:pPr>
        <w:pStyle w:val="Para 25"/>
      </w:pPr>
      <w:r>
        <w:t/>
      </w:r>
    </w:p>
    <w:p>
      <w:pPr>
        <w:pStyle w:val="Para 03"/>
      </w:pPr>
      <w:r>
        <w:t xml:space="preserve">dc=intranet,dc=appdeploy,dc=com </w:t>
      </w:r>
    </w:p>
    <w:p>
      <w:pPr>
        <w:pStyle w:val="Para 25"/>
      </w:pPr>
      <w:r>
        <w:t/>
      </w:r>
    </w:p>
    <w:p>
      <w:pPr>
        <w:pStyle w:val="Para 09"/>
      </w:pPr>
      <w:r>
        <w:t xml:space="preserve">Server Manager </w:t>
      </w:r>
    </w:p>
    <w:p>
      <w:pPr>
        <w:pStyle w:val="Para 25"/>
      </w:pPr>
      <w:r>
        <w:t/>
      </w:r>
    </w:p>
    <w:p>
      <w:pPr>
        <w:pStyle w:val="Normal"/>
      </w:pPr>
      <w:r>
        <w:t xml:space="preserve">For NT domains (as well as Win2K and Windows Server 2003 servers), you can query servers </w:t>
      </w:r>
    </w:p>
    <w:p>
      <w:pPr>
        <w:pStyle w:val="Normal"/>
      </w:pPr>
      <w:r>
        <w:t xml:space="preserve">for computer names using a method similar to that of AD by using the WinNT provider. </w:t>
      </w:r>
    </w:p>
    <w:p>
      <w:pPr>
        <w:pStyle w:val="Normal"/>
      </w:pPr>
      <w:r>
        <w:t xml:space="preserve">Although it does not provide many of the details about objects that LDAP does, this method is easier to use. Its syntax does not require you to deal with the hierarchical structure of AD, and it </w:t>
      </w:r>
    </w:p>
    <w:p>
      <w:pPr>
        <w:pStyle w:val="Normal"/>
      </w:pPr>
      <w:r>
        <w:t xml:space="preserve">can be used to access domain-based SAM databases (residing on NT 4.0 domain controllers), </w:t>
      </w:r>
    </w:p>
    <w:p>
      <w:pPr>
        <w:pStyle w:val="Normal"/>
      </w:pPr>
      <w:r>
        <w:t xml:space="preserve">local-based SAM databases (for NT 4.0 and Win2K member servers and workstations), and Win2K domain controllers. In the example that Listing 7.5 shows, KiXtart is used to create a list </w:t>
      </w:r>
    </w:p>
    <w:p>
      <w:pPr>
        <w:pStyle w:val="Normal"/>
      </w:pPr>
      <w:r>
        <w:t xml:space="preserve">of the machines found in the current domain’s SAM database (in KiXtart, @DOMAIN is used to </w:t>
      </w:r>
    </w:p>
    <w:p>
      <w:pPr>
        <w:pStyle w:val="Normal"/>
      </w:pPr>
      <w:r>
        <w:t xml:space="preserve">represent the current domain name). </w:t>
      </w:r>
    </w:p>
    <w:p>
      <w:pPr>
        <w:pStyle w:val="Para 25"/>
      </w:pPr>
      <w:r>
        <w:t/>
      </w:r>
    </w:p>
    <w:p>
      <w:pPr>
        <w:pStyle w:val="Para 03"/>
      </w:pPr>
      <w:r>
        <w:t xml:space="preserve"> $rc = Open (1, "%TEMP%\Machines.txt", 5) </w:t>
      </w:r>
    </w:p>
    <w:p>
      <w:pPr>
        <w:pStyle w:val="Para 03"/>
      </w:pPr>
      <w:r>
        <w:t xml:space="preserve"> $Domain = GetObject ('WinNT://' + @DOMAIN + ',domain') </w:t>
      </w:r>
    </w:p>
    <w:p>
      <w:pPr>
        <w:pStyle w:val="Para 25"/>
      </w:pPr>
      <w:r>
        <w:t/>
      </w:r>
    </w:p>
    <w:p>
      <w:pPr>
        <w:pStyle w:val="Para 03"/>
      </w:pPr>
      <w:r>
        <w:t xml:space="preserve"> For Each $Computer In $Domain </w:t>
      </w:r>
    </w:p>
    <w:p>
      <w:pPr>
        <w:pStyle w:val="Para 11"/>
      </w:pPr>
      <w:r>
        <w:t xml:space="preserve">If $Computer.class = "Computer" </w:t>
      </w:r>
    </w:p>
    <w:p>
      <w:pPr>
        <w:pStyle w:val="Para 02"/>
      </w:pPr>
      <w:r>
        <w:t xml:space="preserve">$rc = WriteLine (1, $Computer.name + @CRLF) </w:t>
      </w:r>
    </w:p>
    <w:p>
      <w:pPr>
        <w:pStyle w:val="Para 03"/>
      </w:pPr>
      <w:r>
        <w:t xml:space="preserve"> EndIf </w:t>
      </w:r>
    </w:p>
    <w:p>
      <w:pPr>
        <w:pStyle w:val="Para 03"/>
      </w:pPr>
      <w:r>
        <w:t xml:space="preserve"> Next </w:t>
      </w:r>
    </w:p>
    <w:p>
      <w:pPr>
        <w:pStyle w:val="Para 03"/>
      </w:pPr>
      <w:r>
        <w:t xml:space="preserve"> $rc = Close (1) </w:t>
      </w:r>
    </w:p>
    <w:p>
      <w:pPr>
        <w:pStyle w:val="Para 25"/>
      </w:pPr>
      <w:r>
        <w:t/>
      </w:r>
    </w:p>
    <w:p>
      <w:pPr>
        <w:pStyle w:val="Para 10"/>
      </w:pPr>
      <w:r>
        <w:t xml:space="preserve">Listing 7.5: Using KiXtart to create a list of machines found in the current domain’s SAM database. </w:t>
      </w:r>
    </w:p>
    <w:p>
      <w:pPr>
        <w:pStyle w:val="Para 25"/>
      </w:pPr>
      <w:r>
        <w:t/>
      </w:r>
    </w:p>
    <w:p>
      <w:pPr>
        <w:pStyle w:val="Normal"/>
      </w:pPr>
      <w:r>
        <w:t xml:space="preserve">In the open statement, the number one is a handle used to identify this file later in the script. The </w:t>
      </w:r>
    </w:p>
    <w:p>
      <w:pPr>
        <w:pStyle w:val="Normal"/>
      </w:pPr>
      <w:r>
        <w:t xml:space="preserve">number five tells KiXtart to create the file if it does not already exist and to open the file for writing. If the class property identifies the object as a computer, it is written to the file opened </w:t>
      </w:r>
    </w:p>
    <w:p>
      <w:pPr>
        <w:pStyle w:val="Normal"/>
      </w:pPr>
      <w:r>
        <w:t xml:space="preserve">earlier as 1, and includes the macro variable @CRLF, which identifies a carriage return and line </w:t>
      </w:r>
    </w:p>
    <w:p>
      <w:pPr>
        <w:pStyle w:val="Normal"/>
      </w:pPr>
      <w:r>
        <w:t xml:space="preserve">feed. Once each item in the $Domain object is processed, the machines.txt file is closed.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44" name="index-192_1.png" descr="index-192_1.png"/>
            <wp:cNvGraphicFramePr>
              <a:graphicFrameLocks noChangeAspect="1"/>
            </wp:cNvGraphicFramePr>
            <a:graphic>
              <a:graphicData uri="http://schemas.openxmlformats.org/drawingml/2006/picture">
                <pic:pic>
                  <pic:nvPicPr>
                    <pic:cNvPr id="0" name="index-192_1.png" descr="index-192_1.png"/>
                    <pic:cNvPicPr/>
                  </pic:nvPicPr>
                  <pic:blipFill>
                    <a:blip r:embed="rId44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45" name="index-192_2.png" descr="index-192_2.png"/>
            <wp:cNvGraphicFramePr>
              <a:graphicFrameLocks noChangeAspect="1"/>
            </wp:cNvGraphicFramePr>
            <a:graphic>
              <a:graphicData uri="http://schemas.openxmlformats.org/drawingml/2006/picture">
                <pic:pic>
                  <pic:nvPicPr>
                    <pic:cNvPr id="0" name="index-192_2.png" descr="index-192_2.png"/>
                    <pic:cNvPicPr/>
                  </pic:nvPicPr>
                  <pic:blipFill>
                    <a:blip r:embed="rId449"/>
                    <a:stretch>
                      <a:fillRect/>
                    </a:stretch>
                  </pic:blipFill>
                  <pic:spPr>
                    <a:xfrm>
                      <a:off x="0" y="0"/>
                      <a:ext cx="914400" cy="444500"/>
                    </a:xfrm>
                    <a:prstGeom prst="rect">
                      <a:avLst/>
                    </a:prstGeom>
                  </pic:spPr>
                </pic:pic>
              </a:graphicData>
            </a:graphic>
          </wp:anchor>
        </w:drawing>
      </w:r>
    </w:p>
    <w:p>
      <w:pPr>
        <w:pStyle w:val="0 Block"/>
      </w:pPr>
    </w:p>
    <w:p>
      <w:bookmarkStart w:id="201" w:name="Chapter_7_19"/>
      <w:pPr>
        <w:pStyle w:val="Heading 1"/>
        <w:pageBreakBefore w:val="on"/>
      </w:pPr>
      <w:r>
        <w:t>Chapter 7</w:t>
      </w:r>
      <w:bookmarkEnd w:id="201"/>
    </w:p>
    <w:p>
      <w:pPr>
        <w:pStyle w:val="Para 25"/>
      </w:pPr>
      <w:r>
        <w:t/>
      </w:r>
    </w:p>
    <w:p>
      <w:pPr>
        <w:pStyle w:val="Para 09"/>
      </w:pPr>
      <w:r>
        <w:t xml:space="preserve">NET VIEW </w:t>
      </w:r>
    </w:p>
    <w:p>
      <w:pPr>
        <w:pStyle w:val="Para 25"/>
      </w:pPr>
      <w:r>
        <w:t/>
      </w:r>
    </w:p>
    <w:p>
      <w:pPr>
        <w:pStyle w:val="Normal"/>
      </w:pPr>
      <w:r>
        <w:t xml:space="preserve">Using the NET VIEW command, you can produce a list of computers from the network browse </w:t>
      </w:r>
    </w:p>
    <w:p>
      <w:pPr>
        <w:pStyle w:val="Normal"/>
      </w:pPr>
      <w:r>
        <w:t xml:space="preserve">list. The network browse list provides a list of machines, so the list is easily gathered; however, this method is not always the most reliable because (by default) the network browse list only </w:t>
      </w:r>
    </w:p>
    <w:p>
      <w:pPr>
        <w:pStyle w:val="Normal"/>
      </w:pPr>
      <w:r>
        <w:t xml:space="preserve">contains systems that are (or have recently been) active on the network. </w:t>
      </w:r>
    </w:p>
    <w:p>
      <w:pPr>
        <w:pStyle w:val="Para 25"/>
      </w:pPr>
      <w:r>
        <w:t/>
      </w:r>
    </w:p>
    <w:p>
      <w:pPr>
        <w:pStyle w:val="Normal"/>
      </w:pPr>
      <w:r>
        <w:t xml:space="preserve">The script that Listing 7.6 shows uses the greater than symbol (&gt;) to direct the output of the NET VIEW command to a temporary file that is used by the script to create a clean list of computers. </w:t>
      </w:r>
    </w:p>
    <w:p>
      <w:pPr>
        <w:pStyle w:val="Normal"/>
      </w:pPr>
      <w:r>
        <w:t xml:space="preserve">Because the output of the NET VIEW command contains a header and computer comments, the </w:t>
      </w:r>
    </w:p>
    <w:p>
      <w:pPr>
        <w:pStyle w:val="Normal"/>
      </w:pPr>
      <w:r>
        <w:t xml:space="preserve">script uses the InStr and SubStr functions from the third character until the first space is </w:t>
      </w:r>
    </w:p>
    <w:p>
      <w:pPr>
        <w:pStyle w:val="Normal"/>
      </w:pPr>
      <w:r>
        <w:t xml:space="preserve">encountered on lines that start with \\. The computer names are written to the file opened as 2, and when complete, file 2 is closed. Finally, the temporary file containing the NET VIEW output </w:t>
      </w:r>
    </w:p>
    <w:p>
      <w:pPr>
        <w:pStyle w:val="Normal"/>
      </w:pPr>
      <w:r>
        <w:t xml:space="preserve">is also closed, then deleted. </w:t>
      </w:r>
    </w:p>
    <w:p>
      <w:pPr>
        <w:pStyle w:val="Para 25"/>
      </w:pPr>
      <w:r>
        <w:t/>
      </w:r>
    </w:p>
    <w:p>
      <w:pPr>
        <w:pStyle w:val="Para 03"/>
      </w:pPr>
      <w:r>
        <w:t xml:space="preserve">Shell "%comspec% /c net view /domain:" + @DOMAIN + " </w:t>
        <w:t xml:space="preserve">&gt;%temp%\netview.tmp" </w:t>
      </w:r>
    </w:p>
    <w:p>
      <w:pPr>
        <w:pStyle w:val="Para 03"/>
      </w:pPr>
      <w:r>
        <w:t xml:space="preserve">$rc = Open (1, </w:t>
        <w:t>″</w:t>
        <w:t>%temp%\netview.tmp</w:t>
        <w:t>″</w:t>
        <w:t xml:space="preserve">) </w:t>
        <w:t xml:space="preserve">$rc = Open (2, </w:t>
        <w:t>″</w:t>
        <w:t>%temp%\machines.txt</w:t>
        <w:t>″</w:t>
        <w:t xml:space="preserve">, 5) </w:t>
        <w:t xml:space="preserve">$line = ReadLine (1) </w:t>
      </w:r>
    </w:p>
    <w:p>
      <w:pPr>
        <w:pStyle w:val="Para 03"/>
      </w:pPr>
      <w:r>
        <w:t xml:space="preserve">While @error = 0 </w:t>
      </w:r>
    </w:p>
    <w:p>
      <w:pPr>
        <w:pStyle w:val="Para 11"/>
      </w:pPr>
      <w:r>
        <w:t xml:space="preserve">If InStr ($line, </w:t>
        <w:t>″</w:t>
        <w:t>\\</w:t>
        <w:t>″</w:t>
        <w:t xml:space="preserve">) </w:t>
      </w:r>
    </w:p>
    <w:p>
      <w:pPr>
        <w:pStyle w:val="Para 15"/>
      </w:pPr>
      <w:r>
        <w:t xml:space="preserve">$rc = WriteLine (2, RTrim (SubStr ($line, 3, InStr ($line, </w:t>
      </w:r>
    </w:p>
    <w:p>
      <w:pPr>
        <w:pStyle w:val="Para 03"/>
      </w:pPr>
      <w:r>
        <w:t xml:space="preserve">" ") – 1)) + @CRLF) </w:t>
      </w:r>
    </w:p>
    <w:p>
      <w:pPr>
        <w:pStyle w:val="Para 03"/>
      </w:pPr>
      <w:r>
        <w:t xml:space="preserve"> EndIf </w:t>
      </w:r>
    </w:p>
    <w:p>
      <w:pPr>
        <w:pStyle w:val="Para 11"/>
      </w:pPr>
      <w:r>
        <w:t xml:space="preserve">$line = ReadLine (1) </w:t>
      </w:r>
    </w:p>
    <w:p>
      <w:pPr>
        <w:pStyle w:val="Para 03"/>
      </w:pPr>
      <w:r>
        <w:t xml:space="preserve">Loop </w:t>
      </w:r>
    </w:p>
    <w:p>
      <w:pPr>
        <w:pStyle w:val="Para 03"/>
      </w:pPr>
      <w:r>
        <w:t xml:space="preserve">$rc = Close (2) </w:t>
      </w:r>
    </w:p>
    <w:p>
      <w:pPr>
        <w:pStyle w:val="Para 03"/>
      </w:pPr>
      <w:r>
        <w:t xml:space="preserve">$rc = Close (1) </w:t>
      </w:r>
    </w:p>
    <w:p>
      <w:pPr>
        <w:pStyle w:val="Para 03"/>
      </w:pPr>
      <w:r>
        <w:t xml:space="preserve">Del "%temp%\netview.tmp" </w:t>
      </w:r>
    </w:p>
    <w:p>
      <w:pPr>
        <w:pStyle w:val="Para 25"/>
      </w:pPr>
      <w:r>
        <w:t/>
      </w:r>
    </w:p>
    <w:p>
      <w:pPr>
        <w:pStyle w:val="Para 10"/>
      </w:pPr>
      <w:r>
        <w:t xml:space="preserve">Listing 7.6: Using NET VIEW to create a machine list. </w:t>
      </w:r>
    </w:p>
    <w:p>
      <w:pPr>
        <w:pStyle w:val="Para 25"/>
      </w:pPr>
      <w:r>
        <w:t/>
      </w:r>
    </w:p>
    <w:p>
      <w:pPr>
        <w:pStyle w:val="Para 12"/>
      </w:pPr>
      <w:r>
        <w:t xml:space="preserve">Custom Script Examples </w:t>
      </w:r>
    </w:p>
    <w:p>
      <w:pPr>
        <w:pStyle w:val="Para 25"/>
      </w:pPr>
      <w:r>
        <w:t/>
      </w:r>
    </w:p>
    <w:p>
      <w:pPr>
        <w:pStyle w:val="Normal"/>
      </w:pPr>
      <w:r>
        <w:t xml:space="preserve">You can script most anything; the following sections provide examples of scripts that are used to </w:t>
      </w:r>
    </w:p>
    <w:p>
      <w:pPr>
        <w:pStyle w:val="Normal"/>
      </w:pPr>
      <w:r>
        <w:t xml:space="preserve">accomplish common administrative tasks. In the following sections, we will make use of the </w:t>
      </w:r>
    </w:p>
    <w:p>
      <w:pPr>
        <w:pStyle w:val="Normal"/>
      </w:pPr>
      <w:r>
        <w:t xml:space="preserve">computer name lists generated to restart machines, backup their event logs, and gather software inventory information.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46" name="index-193_1.png" descr="index-193_1.png"/>
            <wp:cNvGraphicFramePr>
              <a:graphicFrameLocks noChangeAspect="1"/>
            </wp:cNvGraphicFramePr>
            <a:graphic>
              <a:graphicData uri="http://schemas.openxmlformats.org/drawingml/2006/picture">
                <pic:pic>
                  <pic:nvPicPr>
                    <pic:cNvPr id="0" name="index-193_1.png" descr="index-193_1.png"/>
                    <pic:cNvPicPr/>
                  </pic:nvPicPr>
                  <pic:blipFill>
                    <a:blip r:embed="rId45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47" name="index-193_2.png" descr="index-193_2.png"/>
            <wp:cNvGraphicFramePr>
              <a:graphicFrameLocks noChangeAspect="1"/>
            </wp:cNvGraphicFramePr>
            <a:graphic>
              <a:graphicData uri="http://schemas.openxmlformats.org/drawingml/2006/picture">
                <pic:pic>
                  <pic:nvPicPr>
                    <pic:cNvPr id="0" name="index-193_2.png" descr="index-193_2.png"/>
                    <pic:cNvPicPr/>
                  </pic:nvPicPr>
                  <pic:blipFill>
                    <a:blip r:embed="rId451"/>
                    <a:stretch>
                      <a:fillRect/>
                    </a:stretch>
                  </pic:blipFill>
                  <pic:spPr>
                    <a:xfrm>
                      <a:off x="0" y="0"/>
                      <a:ext cx="914400" cy="444500"/>
                    </a:xfrm>
                    <a:prstGeom prst="rect">
                      <a:avLst/>
                    </a:prstGeom>
                  </pic:spPr>
                </pic:pic>
              </a:graphicData>
            </a:graphic>
          </wp:anchor>
        </w:drawing>
      </w:r>
    </w:p>
    <w:p>
      <w:pPr>
        <w:pStyle w:val="0 Block"/>
      </w:pPr>
    </w:p>
    <w:p>
      <w:bookmarkStart w:id="202" w:name="Chapter_7_20"/>
      <w:pPr>
        <w:pStyle w:val="Heading 1"/>
        <w:pageBreakBefore w:val="on"/>
      </w:pPr>
      <w:r>
        <w:t>Chapter 7</w:t>
      </w:r>
      <w:bookmarkEnd w:id="202"/>
    </w:p>
    <w:p>
      <w:pPr>
        <w:pStyle w:val="Para 25"/>
      </w:pPr>
      <w:r>
        <w:t/>
      </w:r>
    </w:p>
    <w:p>
      <w:pPr>
        <w:pStyle w:val="Para 07"/>
      </w:pPr>
      <w:r>
        <w:t xml:space="preserve">Restarting Remote Systems </w:t>
      </w:r>
    </w:p>
    <w:p>
      <w:pPr>
        <w:pStyle w:val="Normal"/>
      </w:pPr>
      <w:r>
        <w:t xml:space="preserve">Restarting machines is an action that is becoming increasingly popular to script as a result of </w:t>
      </w:r>
    </w:p>
    <w:p>
      <w:pPr>
        <w:pStyle w:val="Normal"/>
      </w:pPr>
      <w:r>
        <w:t xml:space="preserve">Group Policy. With Group Policy, when new software is assigned to a machine, a reboot is </w:t>
      </w:r>
    </w:p>
    <w:p>
      <w:pPr>
        <w:pStyle w:val="Normal"/>
      </w:pPr>
      <w:r>
        <w:t xml:space="preserve">necessary in order to trigger the installation process. In the example that Listing 7.7 shows, the </w:t>
      </w:r>
    </w:p>
    <w:p>
      <w:pPr>
        <w:pStyle w:val="Normal"/>
      </w:pPr>
      <w:r>
        <w:t xml:space="preserve">script reads the machines.txt file, and for each machine included, issues a shutdown command. The syntax for the KiXtart shutdown command is to include the name of the machine to be shut </w:t>
      </w:r>
    </w:p>
    <w:p>
      <w:pPr>
        <w:pStyle w:val="Normal"/>
      </w:pPr>
      <w:r>
        <w:t xml:space="preserve">down, the message to be displayed, and the number of seconds to count down before shutdown </w:t>
      </w:r>
    </w:p>
    <w:p>
      <w:pPr>
        <w:pStyle w:val="Normal"/>
      </w:pPr>
      <w:r>
        <w:t xml:space="preserve">begins. The last two values specify whether the user should be forced off and whether the system should reboot. In the fourth parameter, a zero indicates that if the user has unsaved work, the user </w:t>
      </w:r>
    </w:p>
    <w:p>
      <w:pPr>
        <w:pStyle w:val="Normal"/>
      </w:pPr>
      <w:r>
        <w:t xml:space="preserve">should be prompted to save before the script logs off the user (if it were set to one, the user </w:t>
      </w:r>
    </w:p>
    <w:p>
      <w:pPr>
        <w:pStyle w:val="Normal"/>
      </w:pPr>
      <w:r>
        <w:t xml:space="preserve">would be forcibly logged off without prompting). The fifth and final parameter indicates the system should be restarted (if it were set to zero, the system would simply be shut down). The </w:t>
      </w:r>
    </w:p>
    <w:p>
      <w:pPr>
        <w:pStyle w:val="Normal"/>
      </w:pPr>
      <w:r>
        <w:t xml:space="preserve">ReadLine function reads a line from the specified script with each use. The script loops until this </w:t>
      </w:r>
    </w:p>
    <w:p>
      <w:pPr>
        <w:pStyle w:val="Normal"/>
      </w:pPr>
      <w:r>
        <w:t xml:space="preserve">function tries to read a line and fails (when the end of the list is encountered). </w:t>
      </w:r>
    </w:p>
    <w:p>
      <w:pPr>
        <w:pStyle w:val="Para 25"/>
      </w:pPr>
      <w:r>
        <w:t/>
      </w:r>
    </w:p>
    <w:p>
      <w:pPr>
        <w:pStyle w:val="Para 03"/>
      </w:pPr>
      <w:r>
        <w:t xml:space="preserve">$rc = Open (1, "%temp%\machines.txt") </w:t>
      </w:r>
    </w:p>
    <w:p>
      <w:pPr>
        <w:pStyle w:val="Para 03"/>
      </w:pPr>
      <w:r>
        <w:t xml:space="preserve">$Machine = ReadLine (1) </w:t>
      </w:r>
    </w:p>
    <w:p>
      <w:pPr>
        <w:pStyle w:val="Para 03"/>
      </w:pPr>
      <w:r>
        <w:t xml:space="preserve">While @ERROR = 0 </w:t>
      </w:r>
    </w:p>
    <w:p>
      <w:pPr>
        <w:pStyle w:val="Para 03"/>
      </w:pPr>
      <w:r>
        <w:t xml:space="preserve">$rc = Shutdown ($Machine, "Restarting To Install New Software", 30, 0, </w:t>
        <w:t xml:space="preserve">1) </w:t>
      </w:r>
    </w:p>
    <w:p>
      <w:pPr>
        <w:pStyle w:val="Para 11"/>
      </w:pPr>
      <w:r>
        <w:t xml:space="preserve">$Machine = ReadLine (1) </w:t>
      </w:r>
    </w:p>
    <w:p>
      <w:pPr>
        <w:pStyle w:val="Para 03"/>
      </w:pPr>
      <w:r>
        <w:t xml:space="preserve">Loop </w:t>
      </w:r>
    </w:p>
    <w:p>
      <w:pPr>
        <w:pStyle w:val="Para 03"/>
      </w:pPr>
      <w:r>
        <w:t xml:space="preserve">$rc = Close (1) </w:t>
      </w:r>
    </w:p>
    <w:p>
      <w:pPr>
        <w:pStyle w:val="Para 25"/>
      </w:pPr>
      <w:r>
        <w:t/>
      </w:r>
    </w:p>
    <w:p>
      <w:pPr>
        <w:pStyle w:val="Para 10"/>
      </w:pPr>
      <w:r>
        <w:t xml:space="preserve">Listing 7.7: Using a KiXtart script to restart remote systems. </w:t>
      </w:r>
    </w:p>
    <w:p>
      <w:pPr>
        <w:pStyle w:val="Para 25"/>
      </w:pPr>
      <w:r>
        <w:t/>
      </w:r>
    </w:p>
    <w:p>
      <w:pPr>
        <w:pStyle w:val="Para 07"/>
      </w:pPr>
      <w:r>
        <w:t xml:space="preserve">Backing Up Event Logs </w:t>
      </w:r>
    </w:p>
    <w:p>
      <w:pPr>
        <w:pStyle w:val="Normal"/>
      </w:pPr>
      <w:r>
        <w:t xml:space="preserve">Managing event logs is yet another task best left to a script or other automated process. The </w:t>
      </w:r>
    </w:p>
    <w:p>
      <w:pPr>
        <w:pStyle w:val="Normal"/>
      </w:pPr>
      <w:r>
        <w:t xml:space="preserve">script that Listing 7.8 shows reads each machine name from the machines.txt file and uses the </w:t>
      </w:r>
    </w:p>
    <w:p>
      <w:pPr>
        <w:pStyle w:val="Normal"/>
      </w:pPr>
      <w:r>
        <w:t xml:space="preserve">BackupEventLog function to create a backup of the security log on a server share. If the task was successful, it will return an error level of zero (in KiXtart, you learn the returned error by looking </w:t>
      </w:r>
    </w:p>
    <w:p>
      <w:pPr>
        <w:pStyle w:val="Normal"/>
      </w:pPr>
      <w:r>
        <w:t xml:space="preserve">at the @Error macro variable). If the variable is zero, we use the ClearEventLog function to clear </w:t>
      </w:r>
    </w:p>
    <w:p>
      <w:pPr>
        <w:pStyle w:val="Normal"/>
      </w:pPr>
      <w:r>
        <w:t xml:space="preserve">the remote system’s security log and move on to the next machine. When the end of the machine list is reached, attempting to read the next computer name will result in an error that will exit the </w:t>
      </w:r>
    </w:p>
    <w:p>
      <w:pPr>
        <w:pStyle w:val="Normal"/>
      </w:pPr>
      <w:r>
        <w:t xml:space="preserve">loop, close the machines.txt file, and exit. </w:t>
      </w:r>
    </w:p>
    <w:p>
      <w:pPr>
        <w:pStyle w:val="Para 25"/>
      </w:pPr>
      <w:r>
        <w:t/>
      </w:r>
    </w:p>
    <w:p>
      <w:pPr>
        <w:pStyle w:val="Para 03"/>
      </w:pPr>
      <w:r>
        <w:t xml:space="preserve">$rc = Open (1, "%temp%\machines.txt") </w:t>
      </w:r>
    </w:p>
    <w:p>
      <w:pPr>
        <w:pStyle w:val="Para 03"/>
      </w:pPr>
      <w:r>
        <w:t xml:space="preserve"> $Machine = ReadLine (1) </w:t>
      </w:r>
    </w:p>
    <w:p>
      <w:pPr>
        <w:pStyle w:val="Para 03"/>
      </w:pPr>
      <w:r>
        <w:t xml:space="preserve"> While @ERROR = 0 </w:t>
      </w:r>
    </w:p>
    <w:p>
      <w:pPr>
        <w:pStyle w:val="Para 11"/>
      </w:pPr>
      <w:r>
        <w:t xml:space="preserve">$rc = BackupEventLog ("\\" + $Machine + </w:t>
      </w:r>
    </w:p>
    <w:p>
      <w:pPr>
        <w:pStyle w:val="Para 03"/>
      </w:pPr>
      <w:r>
        <w:t xml:space="preserve">"\Security","\\server\share\Application_Log_" + @WKSTA) </w:t>
      </w:r>
    </w:p>
    <w:p>
      <w:pPr>
        <w:pStyle w:val="Para 11"/>
      </w:pPr>
      <w:r>
        <w:t xml:space="preserve">If @ERROR = 0 </w:t>
      </w:r>
    </w:p>
    <w:p>
      <w:pPr>
        <w:pStyle w:val="Para 27"/>
      </w:pPr>
      <w:r>
        <w:t xml:space="preserve">$rc = ClearEventLog ("\\" + $Machine + "\Security") </w:t>
      </w:r>
    </w:p>
    <w:p>
      <w:pPr>
        <w:pStyle w:val="Para 03"/>
      </w:pPr>
      <w:r>
        <w:t xml:space="preserve"> EndIf </w:t>
      </w:r>
    </w:p>
    <w:p>
      <w:pPr>
        <w:pStyle w:val="Para 11"/>
      </w:pPr>
      <w:r>
        <w:t xml:space="preserve">? $Machine + " - " + @SERROR </w:t>
      </w:r>
    </w:p>
    <w:p>
      <w:pPr>
        <w:pStyle w:val="Para 11"/>
      </w:pPr>
      <w:r>
        <w:t xml:space="preserve">$Machine = ReadLine (1) </w:t>
      </w:r>
    </w:p>
    <w:p>
      <w:pPr>
        <w:pStyle w:val="Para 03"/>
      </w:pPr>
      <w:r>
        <w:t xml:space="preserve"> Loop </w:t>
      </w:r>
    </w:p>
    <w:p>
      <w:pPr>
        <w:pStyle w:val="Para 03"/>
      </w:pPr>
      <w:r>
        <w:t xml:space="preserve"> $rc = Close (1) </w:t>
      </w:r>
    </w:p>
    <w:p>
      <w:pPr>
        <w:pStyle w:val="Para 25"/>
      </w:pPr>
      <w:r>
        <w:t/>
      </w:r>
    </w:p>
    <w:p>
      <w:pPr>
        <w:pStyle w:val="Para 10"/>
      </w:pPr>
      <w:r>
        <w:t xml:space="preserve">Listing 7.8: A script that backs up event logs.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48" name="index-194_1.png" descr="index-194_1.png"/>
            <wp:cNvGraphicFramePr>
              <a:graphicFrameLocks noChangeAspect="1"/>
            </wp:cNvGraphicFramePr>
            <a:graphic>
              <a:graphicData uri="http://schemas.openxmlformats.org/drawingml/2006/picture">
                <pic:pic>
                  <pic:nvPicPr>
                    <pic:cNvPr id="0" name="index-194_1.png" descr="index-194_1.png"/>
                    <pic:cNvPicPr/>
                  </pic:nvPicPr>
                  <pic:blipFill>
                    <a:blip r:embed="rId45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49" name="index-194_2.png" descr="index-194_2.png"/>
            <wp:cNvGraphicFramePr>
              <a:graphicFrameLocks noChangeAspect="1"/>
            </wp:cNvGraphicFramePr>
            <a:graphic>
              <a:graphicData uri="http://schemas.openxmlformats.org/drawingml/2006/picture">
                <pic:pic>
                  <pic:nvPicPr>
                    <pic:cNvPr id="0" name="index-194_2.png" descr="index-194_2.png"/>
                    <pic:cNvPicPr/>
                  </pic:nvPicPr>
                  <pic:blipFill>
                    <a:blip r:embed="rId453"/>
                    <a:stretch>
                      <a:fillRect/>
                    </a:stretch>
                  </pic:blipFill>
                  <pic:spPr>
                    <a:xfrm>
                      <a:off x="0" y="0"/>
                      <a:ext cx="914400" cy="444500"/>
                    </a:xfrm>
                    <a:prstGeom prst="rect">
                      <a:avLst/>
                    </a:prstGeom>
                  </pic:spPr>
                </pic:pic>
              </a:graphicData>
            </a:graphic>
          </wp:anchor>
        </w:drawing>
      </w:r>
    </w:p>
    <w:p>
      <w:pPr>
        <w:pStyle w:val="0 Block"/>
      </w:pPr>
    </w:p>
    <w:p>
      <w:bookmarkStart w:id="203" w:name="Chapter_7_21"/>
      <w:pPr>
        <w:pStyle w:val="Heading 1"/>
        <w:pageBreakBefore w:val="on"/>
      </w:pPr>
      <w:r>
        <w:t>Chapter 7</w:t>
      </w:r>
      <w:bookmarkEnd w:id="203"/>
    </w:p>
    <w:p>
      <w:pPr>
        <w:pStyle w:val="Para 25"/>
      </w:pPr>
      <w:r>
        <w:t/>
      </w:r>
    </w:p>
    <w:p>
      <w:pPr>
        <w:pStyle w:val="Para 07"/>
      </w:pPr>
      <w:r>
        <w:t xml:space="preserve">Software Inventory </w:t>
      </w:r>
    </w:p>
    <w:p>
      <w:pPr>
        <w:pStyle w:val="Normal"/>
      </w:pPr>
      <w:r>
        <w:t xml:space="preserve">Software inventory is another task that can be performed a number of ways. We’ll explore two </w:t>
      </w:r>
    </w:p>
    <w:p>
      <w:pPr>
        <w:pStyle w:val="Normal"/>
      </w:pPr>
      <w:r>
        <w:t xml:space="preserve">methods here—reading the Uninstall key from the registry and querying the Windows Installer </w:t>
      </w:r>
    </w:p>
    <w:p>
      <w:pPr>
        <w:pStyle w:val="Normal"/>
      </w:pPr>
      <w:r>
        <w:t xml:space="preserve">object with WMI. </w:t>
      </w:r>
    </w:p>
    <w:p>
      <w:pPr>
        <w:pStyle w:val="Para 25"/>
      </w:pPr>
      <w:r>
        <w:t/>
      </w:r>
    </w:p>
    <w:p>
      <w:pPr>
        <w:pStyle w:val="Para 09"/>
      </w:pPr>
      <w:r>
        <w:t xml:space="preserve">Reading the Registry </w:t>
      </w:r>
    </w:p>
    <w:p>
      <w:pPr>
        <w:pStyle w:val="Para 25"/>
      </w:pPr>
      <w:r>
        <w:t/>
      </w:r>
    </w:p>
    <w:p>
      <w:pPr>
        <w:pStyle w:val="Normal"/>
      </w:pPr>
      <w:r>
        <w:t xml:space="preserve">The data presented in the Add/Remove Programs applet provides information about most every </w:t>
      </w:r>
    </w:p>
    <w:p>
      <w:pPr>
        <w:pStyle w:val="Normal"/>
      </w:pPr>
      <w:r>
        <w:t xml:space="preserve">program installed on a system. Applications that do not provide an uninstall, such as simple </w:t>
      </w:r>
    </w:p>
    <w:p>
      <w:pPr>
        <w:pStyle w:val="Normal"/>
      </w:pPr>
      <w:r>
        <w:t xml:space="preserve">command-line utilities, will not be detected; however, most applications that provide an installation program register themselves in the Uninstall subkey in the registry. Usually, each </w:t>
      </w:r>
    </w:p>
    <w:p>
      <w:pPr>
        <w:pStyle w:val="Normal"/>
      </w:pPr>
      <w:r>
        <w:t xml:space="preserve">application provides its name and the command that is executed for removal (see Figure 7.3).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81400" cy="2616200"/>
            <wp:effectExtent l="0" r="0" t="0" b="0"/>
            <wp:wrapTopAndBottom/>
            <wp:docPr id="450" name="index-195_1.png" descr="index-195_1.png"/>
            <wp:cNvGraphicFramePr>
              <a:graphicFrameLocks noChangeAspect="1"/>
            </wp:cNvGraphicFramePr>
            <a:graphic>
              <a:graphicData uri="http://schemas.openxmlformats.org/drawingml/2006/picture">
                <pic:pic>
                  <pic:nvPicPr>
                    <pic:cNvPr id="0" name="index-195_1.png" descr="index-195_1.png"/>
                    <pic:cNvPicPr/>
                  </pic:nvPicPr>
                  <pic:blipFill>
                    <a:blip r:embed="rId454"/>
                    <a:stretch>
                      <a:fillRect/>
                    </a:stretch>
                  </pic:blipFill>
                  <pic:spPr>
                    <a:xfrm>
                      <a:off x="0" y="0"/>
                      <a:ext cx="3581400" cy="26162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7.3: Uninstall subkey values contain a list of software installed on a system. </w:t>
      </w:r>
    </w:p>
    <w:p>
      <w:pPr>
        <w:pStyle w:val="Para 25"/>
      </w:pPr>
      <w:r>
        <w:t/>
      </w:r>
    </w:p>
    <w:p>
      <w:pPr>
        <w:pStyle w:val="Normal"/>
      </w:pPr>
      <w:r>
        <w:t xml:space="preserve">Although MSI setups provide a fixed set of values in the Uninstall subkey, those of non-MSI setups can be very inconsistent. In the example that Listing 7.9 shows, the script enumerates each </w:t>
      </w:r>
    </w:p>
    <w:p>
      <w:pPr>
        <w:pStyle w:val="Normal"/>
      </w:pPr>
      <w:r>
        <w:t xml:space="preserve">of the values in the remote system’s Uninstall key. Because we cannot count on a consistent </w:t>
      </w:r>
    </w:p>
    <w:p>
      <w:pPr>
        <w:pStyle w:val="Normal"/>
      </w:pPr>
      <w:r>
        <w:t xml:space="preserve">value to identify the application, the script looks for DisplayName and then QuietDisplayName to identify the application. If neither are found, the name of its subkey within Uninstall is used.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51" name="index-195_2.png" descr="index-195_2.png"/>
            <wp:cNvGraphicFramePr>
              <a:graphicFrameLocks noChangeAspect="1"/>
            </wp:cNvGraphicFramePr>
            <a:graphic>
              <a:graphicData uri="http://schemas.openxmlformats.org/drawingml/2006/picture">
                <pic:pic>
                  <pic:nvPicPr>
                    <pic:cNvPr id="0" name="index-195_2.png" descr="index-195_2.png"/>
                    <pic:cNvPicPr/>
                  </pic:nvPicPr>
                  <pic:blipFill>
                    <a:blip r:embed="rId45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52" name="index-195_3.png" descr="index-195_3.png"/>
            <wp:cNvGraphicFramePr>
              <a:graphicFrameLocks noChangeAspect="1"/>
            </wp:cNvGraphicFramePr>
            <a:graphic>
              <a:graphicData uri="http://schemas.openxmlformats.org/drawingml/2006/picture">
                <pic:pic>
                  <pic:nvPicPr>
                    <pic:cNvPr id="0" name="index-195_3.png" descr="index-195_3.png"/>
                    <pic:cNvPicPr/>
                  </pic:nvPicPr>
                  <pic:blipFill>
                    <a:blip r:embed="rId456"/>
                    <a:stretch>
                      <a:fillRect/>
                    </a:stretch>
                  </pic:blipFill>
                  <pic:spPr>
                    <a:xfrm>
                      <a:off x="0" y="0"/>
                      <a:ext cx="914400" cy="444500"/>
                    </a:xfrm>
                    <a:prstGeom prst="rect">
                      <a:avLst/>
                    </a:prstGeom>
                  </pic:spPr>
                </pic:pic>
              </a:graphicData>
            </a:graphic>
          </wp:anchor>
        </w:drawing>
      </w:r>
    </w:p>
    <w:p>
      <w:pPr>
        <w:pStyle w:val="0 Block"/>
      </w:pPr>
    </w:p>
    <w:p>
      <w:bookmarkStart w:id="204" w:name="Chapter_7_22"/>
      <w:pPr>
        <w:pStyle w:val="Heading 1"/>
        <w:pageBreakBefore w:val="on"/>
      </w:pPr>
      <w:r>
        <w:t>Chapter 7</w:t>
      </w:r>
      <w:bookmarkEnd w:id="204"/>
    </w:p>
    <w:p>
      <w:pPr>
        <w:pStyle w:val="Para 25"/>
      </w:pPr>
      <w:r>
        <w:t/>
      </w:r>
    </w:p>
    <w:p>
      <w:pPr>
        <w:pStyle w:val="Para 03"/>
      </w:pPr>
      <w:r>
        <w:t xml:space="preserve">$rc = Open (1, "%Temp%\Machines.txt") </w:t>
      </w:r>
    </w:p>
    <w:p>
      <w:pPr>
        <w:pStyle w:val="Para 03"/>
      </w:pPr>
      <w:r>
        <w:t xml:space="preserve">$rc = Open (2, "%Temp%\Software.txt", 5) </w:t>
      </w:r>
    </w:p>
    <w:p>
      <w:pPr>
        <w:pStyle w:val="Para 03"/>
      </w:pPr>
      <w:r>
        <w:t xml:space="preserve">$Machine = ReadLine (1) </w:t>
      </w:r>
    </w:p>
    <w:p>
      <w:pPr>
        <w:pStyle w:val="Para 03"/>
      </w:pPr>
      <w:r>
        <w:t xml:space="preserve">While @ERROR = 0 </w:t>
      </w:r>
    </w:p>
    <w:p>
      <w:pPr>
        <w:pStyle w:val="Para 11"/>
      </w:pPr>
      <w:r>
        <w:t xml:space="preserve">$rc = WriteLine (2, $machine + @CRLF) </w:t>
      </w:r>
    </w:p>
    <w:p>
      <w:pPr>
        <w:pStyle w:val="Para 11"/>
      </w:pPr>
      <w:r>
        <w:t xml:space="preserve">$UninstallSubKey = "\\" + $MACHINE + </w:t>
      </w:r>
    </w:p>
    <w:p>
      <w:pPr>
        <w:pStyle w:val="Para 03"/>
      </w:pPr>
      <w:r>
        <w:t xml:space="preserve">"\HKLM\SOFTWARE\Microsoft\Windows\CurrentVersion\Uninstall" </w:t>
      </w:r>
    </w:p>
    <w:p>
      <w:pPr>
        <w:pStyle w:val="Para 11"/>
      </w:pPr>
      <w:r>
        <w:t xml:space="preserve">$Count = 0 </w:t>
      </w:r>
    </w:p>
    <w:p>
      <w:pPr>
        <w:pStyle w:val="Para 11"/>
      </w:pPr>
      <w:r>
        <w:t xml:space="preserve">$Key = EnumKey ($UninstallSubKey, $Count) </w:t>
      </w:r>
    </w:p>
    <w:p>
      <w:pPr>
        <w:pStyle w:val="Para 11"/>
      </w:pPr>
      <w:r>
        <w:t xml:space="preserve">While @Error = 0 </w:t>
      </w:r>
    </w:p>
    <w:p>
      <w:pPr>
        <w:pStyle w:val="Para 15"/>
      </w:pPr>
      <w:r>
        <w:t xml:space="preserve">$App = ReadValue ($UninstallSubKey + "\$KEY", </w:t>
      </w:r>
    </w:p>
    <w:p>
      <w:pPr>
        <w:pStyle w:val="Para 03"/>
      </w:pPr>
      <w:r>
        <w:t xml:space="preserve">"DisplayName") </w:t>
      </w:r>
    </w:p>
    <w:p>
      <w:pPr>
        <w:pStyle w:val="Para 15"/>
      </w:pPr>
      <w:r>
        <w:t xml:space="preserve">If $App = "" </w:t>
      </w:r>
    </w:p>
    <w:p>
      <w:pPr>
        <w:pStyle w:val="Para 49"/>
      </w:pPr>
      <w:r>
        <w:t xml:space="preserve">$App = ReadValue ($UninstallSubKey + "\$KEY", </w:t>
      </w:r>
    </w:p>
    <w:p>
      <w:pPr>
        <w:pStyle w:val="Para 03"/>
      </w:pPr>
      <w:r>
        <w:t xml:space="preserve">"QuietDisplayName") </w:t>
      </w:r>
    </w:p>
    <w:p>
      <w:pPr>
        <w:pStyle w:val="Para 03"/>
      </w:pPr>
      <w:r>
        <w:t xml:space="preserve"> EndIf </w:t>
      </w:r>
    </w:p>
    <w:p>
      <w:pPr>
        <w:pStyle w:val="Para 15"/>
      </w:pPr>
      <w:r>
        <w:t xml:space="preserve">If $App = "" </w:t>
      </w:r>
    </w:p>
    <w:p>
      <w:pPr>
        <w:pStyle w:val="Para 02"/>
      </w:pPr>
      <w:r>
        <w:t xml:space="preserve">$App </w:t>
        <w:t xml:space="preserve">= </w:t>
        <w:t xml:space="preserve">$Key </w:t>
        <w:t xml:space="preserve"> EndIf </w:t>
      </w:r>
    </w:p>
    <w:p>
      <w:pPr>
        <w:pStyle w:val="Para 15"/>
      </w:pPr>
      <w:r>
        <w:t xml:space="preserve">$rc = WriteLine (2, $App + @CRLF) </w:t>
      </w:r>
    </w:p>
    <w:p>
      <w:pPr>
        <w:pStyle w:val="Para 15"/>
      </w:pPr>
      <w:r>
        <w:t xml:space="preserve">$Count = $Count + 1 $Key = EnumKey ($UninstallSubKey, </w:t>
      </w:r>
    </w:p>
    <w:p>
      <w:pPr>
        <w:pStyle w:val="Para 03"/>
      </w:pPr>
      <w:r>
        <w:t xml:space="preserve">$Count) </w:t>
      </w:r>
    </w:p>
    <w:p>
      <w:pPr>
        <w:pStyle w:val="Para 03"/>
      </w:pPr>
      <w:r>
        <w:t xml:space="preserve"> Loop </w:t>
      </w:r>
    </w:p>
    <w:p>
      <w:pPr>
        <w:pStyle w:val="Para 11"/>
      </w:pPr>
      <w:r>
        <w:t xml:space="preserve">$rc = WriteLine (2, @CRLF) </w:t>
      </w:r>
    </w:p>
    <w:p>
      <w:pPr>
        <w:pStyle w:val="Para 11"/>
      </w:pPr>
      <w:r>
        <w:t xml:space="preserve">$Machine = ReadLine (1) </w:t>
      </w:r>
    </w:p>
    <w:p>
      <w:pPr>
        <w:pStyle w:val="Para 03"/>
      </w:pPr>
      <w:r>
        <w:t xml:space="preserve">Loop </w:t>
      </w:r>
    </w:p>
    <w:p>
      <w:pPr>
        <w:pStyle w:val="Para 03"/>
      </w:pPr>
      <w:r>
        <w:t xml:space="preserve">$rc = Close (2) </w:t>
      </w:r>
    </w:p>
    <w:p>
      <w:pPr>
        <w:pStyle w:val="Para 03"/>
      </w:pPr>
      <w:r>
        <w:t xml:space="preserve">$rc = Close (1) </w:t>
      </w:r>
    </w:p>
    <w:p>
      <w:pPr>
        <w:pStyle w:val="Para 25"/>
      </w:pPr>
      <w:r>
        <w:t/>
      </w:r>
    </w:p>
    <w:p>
      <w:pPr>
        <w:pStyle w:val="Para 10"/>
      </w:pPr>
      <w:r>
        <w:t xml:space="preserve">Listing 7.9: Reading the registry to determine the system’s software inventory. </w:t>
      </w:r>
    </w:p>
    <w:p>
      <w:pPr>
        <w:pStyle w:val="Para 25"/>
      </w:pPr>
      <w:r>
        <w:t/>
      </w:r>
    </w:p>
    <w:p>
      <w:pPr>
        <w:pStyle w:val="Para 09"/>
      </w:pPr>
      <w:r>
        <w:t xml:space="preserve">Windows Installer </w:t>
      </w:r>
    </w:p>
    <w:p>
      <w:pPr>
        <w:pStyle w:val="Para 25"/>
      </w:pPr>
      <w:r>
        <w:t/>
      </w:r>
    </w:p>
    <w:p>
      <w:pPr>
        <w:pStyle w:val="Normal"/>
      </w:pPr>
      <w:r>
        <w:t xml:space="preserve">WMI lets you query installed software. However, this method will only return applications </w:t>
      </w:r>
    </w:p>
    <w:p>
      <w:pPr>
        <w:pStyle w:val="Normal"/>
      </w:pPr>
      <w:r>
        <w:t xml:space="preserve">installed with Windows Installer (MSI). In the example that Listing 7.10 shows, the script reads each machine name from machines.txt, and connects to the WMI object in order to query for </w:t>
      </w:r>
    </w:p>
    <w:p>
      <w:pPr>
        <w:pStyle w:val="Normal"/>
      </w:pPr>
      <w:r>
        <w:t xml:space="preserve">installed software. Each application found is written to a text file. </w:t>
      </w:r>
    </w:p>
    <w:p>
      <w:pPr>
        <w:pStyle w:val="Para 25"/>
      </w:pPr>
      <w:r>
        <w:t/>
      </w:r>
    </w:p>
    <w:p>
      <w:pPr>
        <w:pStyle w:val="Para 03"/>
      </w:pPr>
      <w:r>
        <w:t xml:space="preserve">$rc = Open (1, "%temp%\machines.txt") </w:t>
      </w:r>
    </w:p>
    <w:p>
      <w:pPr>
        <w:pStyle w:val="Para 03"/>
      </w:pPr>
      <w:r>
        <w:t xml:space="preserve">$rc = Open (2, "%temp%\software.txt",5) </w:t>
      </w:r>
    </w:p>
    <w:p>
      <w:pPr>
        <w:pStyle w:val="Para 03"/>
      </w:pPr>
      <w:r>
        <w:t xml:space="preserve">$Machine = ReadLine (1) </w:t>
      </w:r>
    </w:p>
    <w:p>
      <w:pPr>
        <w:pStyle w:val="Para 03"/>
      </w:pPr>
      <w:r>
        <w:t xml:space="preserve">While @ERROR = 0 </w:t>
      </w:r>
    </w:p>
    <w:p>
      <w:pPr>
        <w:pStyle w:val="Para 11"/>
      </w:pPr>
      <w:r>
        <w:t xml:space="preserve">$rc = WriteLine (2, $machine + @CRLF) </w:t>
      </w:r>
    </w:p>
    <w:p>
      <w:pPr>
        <w:pStyle w:val="Para 11"/>
      </w:pPr>
      <w:r>
        <w:t xml:space="preserve">$WMI = GetObject ("winmgmts:{impersonationLevel=impersonate}!\\" </w:t>
      </w:r>
    </w:p>
    <w:p>
      <w:pPr>
        <w:pStyle w:val="Para 03"/>
      </w:pPr>
      <w:r>
        <w:t xml:space="preserve">+ $Machine + "\root\cimv2") </w:t>
      </w:r>
    </w:p>
    <w:p>
      <w:pPr>
        <w:pStyle w:val="Para 11"/>
      </w:pPr>
      <w:r>
        <w:t xml:space="preserve">$Software = $WMI.ExecQuery("Select * from Win32_Product") </w:t>
        <w:t xml:space="preserve">For Each $Application In $Software </w:t>
      </w:r>
    </w:p>
    <w:p>
      <w:pPr>
        <w:pStyle w:val="Para 15"/>
      </w:pPr>
      <w:r>
        <w:t xml:space="preserve">$rc = WriteLine (2, $Application.Name + @CRLF) </w:t>
      </w:r>
    </w:p>
    <w:p>
      <w:pPr>
        <w:pStyle w:val="Para 03"/>
      </w:pPr>
      <w:r>
        <w:t xml:space="preserve"> Next </w:t>
      </w:r>
    </w:p>
    <w:p>
      <w:pPr>
        <w:pStyle w:val="Para 11"/>
      </w:pPr>
      <w:r>
        <w:t xml:space="preserve">$rc = WriteLine (2, @CRLF) </w:t>
      </w:r>
    </w:p>
    <w:p>
      <w:pPr>
        <w:pStyle w:val="Para 11"/>
      </w:pPr>
      <w:r>
        <w:t xml:space="preserve">$Machine = ReadLine (1) </w:t>
      </w:r>
    </w:p>
    <w:p>
      <w:pPr>
        <w:pStyle w:val="Para 03"/>
      </w:pPr>
      <w:r>
        <w:t xml:space="preserve">Loop </w:t>
      </w:r>
    </w:p>
    <w:p>
      <w:pPr>
        <w:pStyle w:val="Para 03"/>
      </w:pPr>
      <w:r>
        <w:t xml:space="preserve">$rc = Close (2) </w:t>
      </w:r>
    </w:p>
    <w:p>
      <w:pPr>
        <w:pStyle w:val="Para 03"/>
      </w:pPr>
      <w:r>
        <w:t xml:space="preserve">$rc = Close (1) </w:t>
      </w:r>
    </w:p>
    <w:p>
      <w:pPr>
        <w:pStyle w:val="Para 25"/>
      </w:pPr>
      <w:r>
        <w:t/>
      </w:r>
    </w:p>
    <w:p>
      <w:pPr>
        <w:pStyle w:val="Para 10"/>
      </w:pPr>
      <w:r>
        <w:t xml:space="preserve">Listing 7.10: Using WMI to inventory a system’s software.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53" name="index-196_1.png" descr="index-196_1.png"/>
            <wp:cNvGraphicFramePr>
              <a:graphicFrameLocks noChangeAspect="1"/>
            </wp:cNvGraphicFramePr>
            <a:graphic>
              <a:graphicData uri="http://schemas.openxmlformats.org/drawingml/2006/picture">
                <pic:pic>
                  <pic:nvPicPr>
                    <pic:cNvPr id="0" name="index-196_1.png" descr="index-196_1.png"/>
                    <pic:cNvPicPr/>
                  </pic:nvPicPr>
                  <pic:blipFill>
                    <a:blip r:embed="rId45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54" name="index-196_2.png" descr="index-196_2.png"/>
            <wp:cNvGraphicFramePr>
              <a:graphicFrameLocks noChangeAspect="1"/>
            </wp:cNvGraphicFramePr>
            <a:graphic>
              <a:graphicData uri="http://schemas.openxmlformats.org/drawingml/2006/picture">
                <pic:pic>
                  <pic:nvPicPr>
                    <pic:cNvPr id="0" name="index-196_2.png" descr="index-196_2.png"/>
                    <pic:cNvPicPr/>
                  </pic:nvPicPr>
                  <pic:blipFill>
                    <a:blip r:embed="rId458"/>
                    <a:stretch>
                      <a:fillRect/>
                    </a:stretch>
                  </pic:blipFill>
                  <pic:spPr>
                    <a:xfrm>
                      <a:off x="0" y="0"/>
                      <a:ext cx="914400" cy="444500"/>
                    </a:xfrm>
                    <a:prstGeom prst="rect">
                      <a:avLst/>
                    </a:prstGeom>
                  </pic:spPr>
                </pic:pic>
              </a:graphicData>
            </a:graphic>
          </wp:anchor>
        </w:drawing>
      </w:r>
    </w:p>
    <w:p>
      <w:pPr>
        <w:pStyle w:val="0 Block"/>
      </w:pPr>
    </w:p>
    <w:p>
      <w:bookmarkStart w:id="205" w:name="Chapter_7_23"/>
      <w:pPr>
        <w:pStyle w:val="Heading 1"/>
        <w:pageBreakBefore w:val="on"/>
      </w:pPr>
      <w:r>
        <w:t>Chapter 7</w:t>
      </w:r>
      <w:bookmarkEnd w:id="205"/>
    </w:p>
    <w:p>
      <w:pPr>
        <w:pStyle w:val="Para 25"/>
      </w:pPr>
      <w:r>
        <w:t/>
      </w:r>
    </w:p>
    <w:p>
      <w:pPr>
        <w:pStyle w:val="Para 07"/>
      </w:pPr>
      <w:r>
        <w:t xml:space="preserve">The AutoLogon Process </w:t>
      </w:r>
    </w:p>
    <w:p>
      <w:pPr>
        <w:pStyle w:val="Normal"/>
      </w:pPr>
      <w:r>
        <w:t xml:space="preserve">AutoLogon provides you with the ability to have a machine automatically log on as a user so that </w:t>
      </w:r>
    </w:p>
    <w:p>
      <w:pPr>
        <w:pStyle w:val="Normal"/>
      </w:pPr>
      <w:r>
        <w:t xml:space="preserve">you can interact with the desktop in a traditional fashion with your script. Some installations </w:t>
      </w:r>
    </w:p>
    <w:p>
      <w:pPr>
        <w:pStyle w:val="Normal"/>
      </w:pPr>
      <w:r>
        <w:t xml:space="preserve">require that an administrator log on following the initial portion of the setup so that actions can </w:t>
      </w:r>
    </w:p>
    <w:p>
      <w:pPr>
        <w:pStyle w:val="Normal"/>
      </w:pPr>
      <w:r>
        <w:t xml:space="preserve">take place following a reboot. It is also common to follow the imaging or unattended Windows installation process with a script that will perform additional installations and configuration </w:t>
      </w:r>
    </w:p>
    <w:p>
      <w:pPr>
        <w:pStyle w:val="Normal"/>
      </w:pPr>
      <w:r>
        <w:t xml:space="preserve">changes. </w:t>
      </w:r>
    </w:p>
    <w:p>
      <w:pPr>
        <w:pStyle w:val="Para 25"/>
      </w:pPr>
      <w:r>
        <w:t/>
      </w:r>
    </w:p>
    <w:p>
      <w:pPr>
        <w:pStyle w:val="Normal"/>
      </w:pPr>
      <w:r>
        <w:t xml:space="preserve">There are several tools available to utilize an alternative set of credentials so that users triggering a process (such as through a logon script) can get past normal security restrictions. This method </w:t>
      </w:r>
    </w:p>
    <w:p>
      <w:pPr>
        <w:pStyle w:val="Normal"/>
      </w:pPr>
      <w:r>
        <w:t xml:space="preserve">of utilizing the AutoLogon process is best suited for cases in which you cannot repackage or </w:t>
      </w:r>
    </w:p>
    <w:p>
      <w:pPr>
        <w:pStyle w:val="Normal"/>
      </w:pPr>
      <w:r>
        <w:t xml:space="preserve">utilize silent switches to automate a task. In these situations, you might find it necessary to address prompts and dialog boxes with your script, which will require that a desktop profile be </w:t>
      </w:r>
    </w:p>
    <w:p>
      <w:pPr>
        <w:pStyle w:val="Normal"/>
      </w:pPr>
      <w:r>
        <w:t xml:space="preserve">loaded. You can do so using the Windows resource kit ScriptIt tool or KiXtart’s built-in </w:t>
      </w:r>
    </w:p>
    <w:p>
      <w:pPr>
        <w:pStyle w:val="Normal"/>
      </w:pPr>
      <w:r>
        <w:t xml:space="preserve">SendKeys function. Both options require that dialog boxes be addressed by name, which requires </w:t>
      </w:r>
    </w:p>
    <w:p>
      <w:pPr>
        <w:pStyle w:val="Normal"/>
      </w:pPr>
      <w:r>
        <w:t xml:space="preserve">that the dialog boxes exist on the desktop so that they may be addressed. </w:t>
      </w:r>
    </w:p>
    <w:p>
      <w:pPr>
        <w:pStyle w:val="Para 25"/>
      </w:pPr>
      <w:r>
        <w:t/>
      </w:r>
    </w:p>
    <w:p>
      <w:pPr>
        <w:pStyle w:val="Normal"/>
      </w:pPr>
      <w:r>
        <w:t xml:space="preserve">NT and later provide this capability by setting the following keys in the </w:t>
      </w:r>
    </w:p>
    <w:p>
      <w:pPr>
        <w:pStyle w:val="Normal"/>
      </w:pPr>
      <w:r>
        <w:t xml:space="preserve">HKEY_LOCAL_MACHINE\SOFTWARE\Microsoft\Windows NT\CurrentVersion\Winlogon </w:t>
      </w:r>
    </w:p>
    <w:p>
      <w:pPr>
        <w:pStyle w:val="Normal"/>
      </w:pPr>
      <w:r>
        <w:t xml:space="preserve">subkey: </w:t>
      </w:r>
    </w:p>
    <w:p>
      <w:pPr>
        <w:pStyle w:val="Para 25"/>
      </w:pPr>
      <w:r>
        <w:t/>
      </w:r>
    </w:p>
    <w:p>
      <w:pPr>
        <w:pStyle w:val="Para 04"/>
      </w:pPr>
      <w:r>
        <w:t xml:space="preserve">• AutoAdminLogon </w:t>
      </w:r>
    </w:p>
    <w:p>
      <w:pPr>
        <w:pStyle w:val="Para 25"/>
      </w:pPr>
      <w:r>
        <w:t/>
      </w:r>
    </w:p>
    <w:p>
      <w:pPr>
        <w:pStyle w:val="Para 04"/>
      </w:pPr>
      <w:r>
        <w:t xml:space="preserve">• DefaultPassword </w:t>
      </w:r>
    </w:p>
    <w:p>
      <w:pPr>
        <w:pStyle w:val="Para 25"/>
      </w:pPr>
      <w:r>
        <w:t/>
      </w:r>
    </w:p>
    <w:p>
      <w:pPr>
        <w:pStyle w:val="Para 04"/>
      </w:pPr>
      <w:r>
        <w:t xml:space="preserve">• DefaultUsername </w:t>
      </w:r>
    </w:p>
    <w:p>
      <w:pPr>
        <w:pStyle w:val="Para 25"/>
      </w:pPr>
      <w:r>
        <w:t/>
      </w:r>
    </w:p>
    <w:p>
      <w:pPr>
        <w:pStyle w:val="Para 04"/>
      </w:pPr>
      <w:r>
        <w:t xml:space="preserve">• DefaultDomainName </w:t>
      </w:r>
    </w:p>
    <w:p>
      <w:pPr>
        <w:pStyle w:val="Para 25"/>
      </w:pPr>
      <w:r>
        <w:t/>
      </w:r>
    </w:p>
    <w:p>
      <w:pPr>
        <w:pStyle w:val="Para 04"/>
      </w:pPr>
      <w:r>
        <w:t xml:space="preserve">• AutoLogonCount (Win2K and later) </w:t>
      </w:r>
    </w:p>
    <w:p>
      <w:pPr>
        <w:pStyle w:val="Para 25"/>
      </w:pPr>
      <w:r>
        <w:t/>
      </w:r>
    </w:p>
    <w:p>
      <w:pPr>
        <w:pStyle w:val="Normal"/>
      </w:pPr>
      <w:r>
        <w:t xml:space="preserve">Set AutoAdminLogon to 1 to instruct the system to attempt an automatic logon. The </w:t>
      </w:r>
    </w:p>
    <w:p>
      <w:pPr>
        <w:pStyle w:val="Normal"/>
      </w:pPr>
      <w:r>
        <w:t xml:space="preserve">DefaultPassword, DefaultUsername, and DefaultDomainName values should be updated to </w:t>
      </w:r>
    </w:p>
    <w:p>
      <w:pPr>
        <w:pStyle w:val="Normal"/>
      </w:pPr>
      <w:r>
        <w:t xml:space="preserve">include the account information with which you want to automatically log on. The downside is that the values are all in plain text and can be read by anyone who knows where to look. Thus, </w:t>
      </w:r>
    </w:p>
    <w:p>
      <w:pPr>
        <w:pStyle w:val="Normal"/>
      </w:pPr>
      <w:r>
        <w:t xml:space="preserve">when you’re completing your desired AutoLogon sessions, it is important to not only set the </w:t>
      </w:r>
    </w:p>
    <w:p>
      <w:pPr>
        <w:pStyle w:val="Normal"/>
      </w:pPr>
      <w:r>
        <w:t xml:space="preserve">AutoAdminLogon value to zero but also delete the logon credentials stored in the other values. Win2K and later provide a useful feature to handle this cleanup for you—simply set the </w:t>
      </w:r>
    </w:p>
    <w:p>
      <w:pPr>
        <w:pStyle w:val="Normal"/>
      </w:pPr>
      <w:r>
        <w:t xml:space="preserve">AutoLogonCount value to the number of AutoLogon sessions you want to initiate, and this value </w:t>
      </w:r>
    </w:p>
    <w:p>
      <w:pPr>
        <w:pStyle w:val="Normal"/>
      </w:pPr>
      <w:r>
        <w:t xml:space="preserve">will be decremented with each automatic logon performed. When it reaches zero, it cleans up the </w:t>
      </w:r>
    </w:p>
    <w:p>
      <w:pPr>
        <w:pStyle w:val="Normal"/>
      </w:pPr>
      <w:r>
        <w:t xml:space="preserve">logon credentials for you, and resets the AutoAdminLogon value back to zero.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55" name="index-197_1.png" descr="index-197_1.png"/>
            <wp:cNvGraphicFramePr>
              <a:graphicFrameLocks noChangeAspect="1"/>
            </wp:cNvGraphicFramePr>
            <a:graphic>
              <a:graphicData uri="http://schemas.openxmlformats.org/drawingml/2006/picture">
                <pic:pic>
                  <pic:nvPicPr>
                    <pic:cNvPr id="0" name="index-197_1.png" descr="index-197_1.png"/>
                    <pic:cNvPicPr/>
                  </pic:nvPicPr>
                  <pic:blipFill>
                    <a:blip r:embed="rId45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56" name="index-197_2.png" descr="index-197_2.png"/>
            <wp:cNvGraphicFramePr>
              <a:graphicFrameLocks noChangeAspect="1"/>
            </wp:cNvGraphicFramePr>
            <a:graphic>
              <a:graphicData uri="http://schemas.openxmlformats.org/drawingml/2006/picture">
                <pic:pic>
                  <pic:nvPicPr>
                    <pic:cNvPr id="0" name="index-197_2.png" descr="index-197_2.png"/>
                    <pic:cNvPicPr/>
                  </pic:nvPicPr>
                  <pic:blipFill>
                    <a:blip r:embed="rId460"/>
                    <a:stretch>
                      <a:fillRect/>
                    </a:stretch>
                  </pic:blipFill>
                  <pic:spPr>
                    <a:xfrm>
                      <a:off x="0" y="0"/>
                      <a:ext cx="914400" cy="444500"/>
                    </a:xfrm>
                    <a:prstGeom prst="rect">
                      <a:avLst/>
                    </a:prstGeom>
                  </pic:spPr>
                </pic:pic>
              </a:graphicData>
            </a:graphic>
          </wp:anchor>
        </w:drawing>
      </w:r>
    </w:p>
    <w:p>
      <w:pPr>
        <w:pStyle w:val="0 Block"/>
      </w:pPr>
    </w:p>
    <w:p>
      <w:bookmarkStart w:id="206" w:name="Chapter_7_24"/>
      <w:pPr>
        <w:pStyle w:val="Heading 1"/>
        <w:pageBreakBefore w:val="on"/>
      </w:pPr>
      <w:r>
        <w:t>Chapter 7</w:t>
      </w:r>
      <w:bookmarkEnd w:id="206"/>
    </w:p>
    <w:p>
      <w:pPr>
        <w:pStyle w:val="Para 25"/>
      </w:pPr>
      <w:r>
        <w:t/>
      </w:r>
    </w:p>
    <w:p>
      <w:pPr>
        <w:pStyle w:val="Normal"/>
      </w:pPr>
      <w:r>
        <w:t xml:space="preserve">In the example that Listing 7.11 shows, the system is configured to logon automatically two </w:t>
      </w:r>
    </w:p>
    <w:p>
      <w:pPr>
        <w:pStyle w:val="Normal"/>
      </w:pPr>
      <w:r>
        <w:t xml:space="preserve">times with the AutoLogonCount value. The computer will attempt to log on to the appdeploy </w:t>
      </w:r>
    </w:p>
    <w:p>
      <w:pPr>
        <w:pStyle w:val="Normal"/>
      </w:pPr>
      <w:r>
        <w:t xml:space="preserve">domain with a username of bkelly and a password of 12345678. Then the machine is restarted to begin the AutoLogon process. </w:t>
      </w:r>
    </w:p>
    <w:p>
      <w:pPr>
        <w:pStyle w:val="Para 25"/>
      </w:pPr>
      <w:r>
        <w:t/>
      </w:r>
    </w:p>
    <w:p>
      <w:pPr>
        <w:pStyle w:val="Para 03"/>
      </w:pPr>
      <w:r>
        <w:t xml:space="preserve">$WinLogonSubKey = "HKLM\SOFTWARE\Microsoft\Windows </w:t>
        <w:t xml:space="preserve">NT\CurrentVersion\Winlogon" </w:t>
      </w:r>
    </w:p>
    <w:p>
      <w:pPr>
        <w:pStyle w:val="Para 03"/>
      </w:pPr>
      <w:r>
        <w:t xml:space="preserve">$rc = WriteValue ($WinLogonSubKey,"AutoLogon","1","REG_SZ") </w:t>
        <w:t xml:space="preserve">$rc = WriteValue ($WinLogonSubKey,"DefaultUserName","bkelly","REG_SZ") </w:t>
        <w:t xml:space="preserve">$rc = WriteValue </w:t>
      </w:r>
    </w:p>
    <w:p>
      <w:pPr>
        <w:pStyle w:val="Para 03"/>
      </w:pPr>
      <w:r>
        <w:t xml:space="preserve">($WinLogonSubKey,"DefaultPassword","12345678","REG_SZ") </w:t>
        <w:t xml:space="preserve">$rc = WriteValue </w:t>
      </w:r>
    </w:p>
    <w:p>
      <w:pPr>
        <w:pStyle w:val="Para 03"/>
      </w:pPr>
      <w:r>
        <w:t xml:space="preserve">($WinLogonSubKey,"DefaultDomainName","appdeploy","REG_SZ") </w:t>
        <w:t xml:space="preserve">$rc = WriteValue ($WinLogonSubKey,"AutoLogonCount","2","REG_SZ") </w:t>
        <w:t xml:space="preserve">$rc = Shutdown("","Shutting Down For AutoLogon",10,1,1) </w:t>
      </w:r>
    </w:p>
    <w:p>
      <w:pPr>
        <w:pStyle w:val="Para 25"/>
      </w:pPr>
      <w:r>
        <w:t/>
      </w:r>
    </w:p>
    <w:p>
      <w:pPr>
        <w:pStyle w:val="Para 10"/>
      </w:pPr>
      <w:r>
        <w:t xml:space="preserve">Listing 7.11: Scripting the AutoLogon process. </w:t>
      </w:r>
    </w:p>
    <w:p>
      <w:pPr>
        <w:pStyle w:val="Para 25"/>
      </w:pPr>
      <w:r>
        <w:t/>
      </w:r>
    </w:p>
    <w:p>
      <w:pPr>
        <w:pStyle w:val="Para 09"/>
      </w:pPr>
      <w:r>
        <w:t xml:space="preserve">Restricting Access </w:t>
      </w:r>
    </w:p>
    <w:p>
      <w:pPr>
        <w:pStyle w:val="Para 25"/>
      </w:pPr>
      <w:r>
        <w:t/>
      </w:r>
    </w:p>
    <w:p>
      <w:pPr>
        <w:pStyle w:val="Normal"/>
      </w:pPr>
      <w:r>
        <w:t xml:space="preserve">Odds are that if you are having a script perform an automatic logon to the system, it is because </w:t>
      </w:r>
    </w:p>
    <w:p>
      <w:pPr>
        <w:pStyle w:val="Normal"/>
      </w:pPr>
      <w:r>
        <w:t xml:space="preserve">you need to have the computer logged on as an administrator. To say the least, this is not likely </w:t>
      </w:r>
    </w:p>
    <w:p>
      <w:pPr>
        <w:pStyle w:val="Normal"/>
      </w:pPr>
      <w:r>
        <w:t xml:space="preserve">something your security department will look kindly on without some measure taken to limit a user from interrupting the script and accessing the system with the administrative account. </w:t>
      </w:r>
    </w:p>
    <w:p>
      <w:pPr>
        <w:pStyle w:val="Normal"/>
      </w:pPr>
      <w:r>
        <w:t xml:space="preserve">Locking the mouse and keyboard is a typical approach to addressing this issue. By disabling the </w:t>
      </w:r>
    </w:p>
    <w:p>
      <w:pPr>
        <w:pStyle w:val="Normal"/>
      </w:pPr>
      <w:r>
        <w:t xml:space="preserve">mouse and keyboard devices, you can perform an automatic logon without worry of users interrupting the script. </w:t>
      </w:r>
    </w:p>
    <w:p>
      <w:pPr>
        <w:pStyle w:val="Para 25"/>
      </w:pPr>
      <w:r>
        <w:t/>
      </w:r>
    </w:p>
    <w:p>
      <w:pPr>
        <w:pStyle w:val="Normal"/>
      </w:pPr>
      <w:r>
        <w:t xml:space="preserve">Although you cannot stop the mouse or keyboard devices during a current Windows session, you </w:t>
      </w:r>
    </w:p>
    <w:p>
      <w:pPr>
        <w:pStyle w:val="Normal"/>
      </w:pPr>
      <w:r>
        <w:t xml:space="preserve">can disable the devices so that they do not start the next time the system reboots. The device settings are located in the HKEY_LOCAL_MACHINE\SYSTEM\CurrentControlSet\Services </w:t>
      </w:r>
    </w:p>
    <w:p>
      <w:pPr>
        <w:pStyle w:val="Normal"/>
      </w:pPr>
      <w:r>
        <w:t xml:space="preserve">subkey. The mouse device value is MouClass and the keyboard device value is KbdClass. </w:t>
      </w:r>
    </w:p>
    <w:p>
      <w:pPr>
        <w:pStyle w:val="Para 25"/>
      </w:pPr>
      <w:r>
        <w:t/>
      </w:r>
    </w:p>
    <w:p>
      <w:pPr>
        <w:pStyle w:val="Normal"/>
      </w:pPr>
      <w:r>
        <w:t xml:space="preserve">As the AutoLogon process requires a reboot already, disabling these two devices before the </w:t>
      </w:r>
    </w:p>
    <w:p>
      <w:pPr>
        <w:pStyle w:val="Normal"/>
      </w:pPr>
      <w:r>
        <w:t xml:space="preserve">restart fits nicely into the process. However, in order to restore the system, you will need to undo the changes when you are done. The script that Listing 7.12 shows configures a computer for </w:t>
      </w:r>
    </w:p>
    <w:p>
      <w:pPr>
        <w:pStyle w:val="Normal"/>
      </w:pPr>
      <w:r>
        <w:t xml:space="preserve">automatic logon and disables the mouse and keyboard drivers for next logon (by setting their </w:t>
      </w:r>
    </w:p>
    <w:p>
      <w:pPr>
        <w:pStyle w:val="Normal"/>
      </w:pPr>
      <w:r>
        <w:t xml:space="preserve">start values to 4). Before restarting the computer, a RunOnce entry is added to the system to perform actions and unlock the system in order to control the AutoLogon process.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57" name="index-198_1.png" descr="index-198_1.png"/>
            <wp:cNvGraphicFramePr>
              <a:graphicFrameLocks noChangeAspect="1"/>
            </wp:cNvGraphicFramePr>
            <a:graphic>
              <a:graphicData uri="http://schemas.openxmlformats.org/drawingml/2006/picture">
                <pic:pic>
                  <pic:nvPicPr>
                    <pic:cNvPr id="0" name="index-198_1.png" descr="index-198_1.png"/>
                    <pic:cNvPicPr/>
                  </pic:nvPicPr>
                  <pic:blipFill>
                    <a:blip r:embed="rId46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58" name="index-198_2.png" descr="index-198_2.png"/>
            <wp:cNvGraphicFramePr>
              <a:graphicFrameLocks noChangeAspect="1"/>
            </wp:cNvGraphicFramePr>
            <a:graphic>
              <a:graphicData uri="http://schemas.openxmlformats.org/drawingml/2006/picture">
                <pic:pic>
                  <pic:nvPicPr>
                    <pic:cNvPr id="0" name="index-198_2.png" descr="index-198_2.png"/>
                    <pic:cNvPicPr/>
                  </pic:nvPicPr>
                  <pic:blipFill>
                    <a:blip r:embed="rId462"/>
                    <a:stretch>
                      <a:fillRect/>
                    </a:stretch>
                  </pic:blipFill>
                  <pic:spPr>
                    <a:xfrm>
                      <a:off x="0" y="0"/>
                      <a:ext cx="914400" cy="444500"/>
                    </a:xfrm>
                    <a:prstGeom prst="rect">
                      <a:avLst/>
                    </a:prstGeom>
                  </pic:spPr>
                </pic:pic>
              </a:graphicData>
            </a:graphic>
          </wp:anchor>
        </w:drawing>
      </w:r>
    </w:p>
    <w:p>
      <w:pPr>
        <w:pStyle w:val="0 Block"/>
      </w:pPr>
    </w:p>
    <w:p>
      <w:bookmarkStart w:id="207" w:name="Chapter_7_25"/>
      <w:pPr>
        <w:pStyle w:val="Heading 1"/>
        <w:pageBreakBefore w:val="on"/>
      </w:pPr>
      <w:r>
        <w:t>Chapter 7</w:t>
      </w:r>
      <w:bookmarkEnd w:id="207"/>
    </w:p>
    <w:p>
      <w:pPr>
        <w:pStyle w:val="Para 25"/>
      </w:pPr>
      <w:r>
        <w:t/>
      </w:r>
    </w:p>
    <w:p>
      <w:pPr>
        <w:pStyle w:val="Para 03"/>
      </w:pPr>
      <w:r>
        <w:t xml:space="preserve">$WinLogonSubKey = "HKLM\SOFTWARE\Microsoft\Windows </w:t>
        <w:t xml:space="preserve">NT\CurrentVersion\Winlogon" </w:t>
      </w:r>
    </w:p>
    <w:p>
      <w:pPr>
        <w:pStyle w:val="Para 03"/>
      </w:pPr>
      <w:r>
        <w:t xml:space="preserve">$rc = WriteValue ($WinLogonSubKey,"AutoLogon","1","REG_SZ") </w:t>
        <w:t xml:space="preserve">$rc = WriteValue ($WinLogonSubKey,"DefaultUserName","bkelly","REG_SZ") </w:t>
        <w:t xml:space="preserve">$rc = WriteValue </w:t>
      </w:r>
    </w:p>
    <w:p>
      <w:pPr>
        <w:pStyle w:val="Para 03"/>
      </w:pPr>
      <w:r>
        <w:t xml:space="preserve">($WinLogonSubKey,"DefaultPassword","12345678","REG_SZ") </w:t>
        <w:t xml:space="preserve">$rc = WriteValue </w:t>
      </w:r>
    </w:p>
    <w:p>
      <w:pPr>
        <w:pStyle w:val="Para 03"/>
      </w:pPr>
      <w:r>
        <w:t xml:space="preserve">($WinLogonSubKey,"DefaultDomainName","appdeploy","REG_SZ") </w:t>
        <w:t xml:space="preserve">$ServicesSubKey = "HKLM\SYSTEM\CurrentControlSet\Services" </w:t>
        <w:t xml:space="preserve">$rc = WriteValue($ServicesKey + "\MouClass","Start","4","REG_SZ") </w:t>
        <w:t xml:space="preserve">$rc = WriteValue($ServicesKey + "\KbdClass","Start","4","REG_SZ") </w:t>
        <w:t xml:space="preserve">$RunOnceSubKey = </w:t>
      </w:r>
    </w:p>
    <w:p>
      <w:pPr>
        <w:pStyle w:val="Para 03"/>
      </w:pPr>
      <w:r>
        <w:t xml:space="preserve">"HKLM\SOFTWARE\Microsoft\Windows\CurrentVersion\RunOnce" </w:t>
        <w:t xml:space="preserve">$rc = </w:t>
      </w:r>
    </w:p>
    <w:p>
      <w:pPr>
        <w:pStyle w:val="Para 03"/>
      </w:pPr>
      <w:r>
        <w:t>WriteValue($RunOnceSubKey,"AutoScript.bat","c:\temp\AutoScript.bat","RE</w:t>
      </w:r>
      <w:r>
        <w:rPr>
          <w:rStyle w:val="Text2"/>
        </w:rPr>
        <w:t xml:space="preserve"> </w:t>
      </w:r>
      <w:r>
        <w:t xml:space="preserve">G_SZ") </w:t>
      </w:r>
    </w:p>
    <w:p>
      <w:pPr>
        <w:pStyle w:val="Para 03"/>
      </w:pPr>
      <w:r>
        <w:t xml:space="preserve">$rc = Shutdown("","Shutting Down to Run AutoScript.bat as </w:t>
        <w:t xml:space="preserve">Admin",10,1,1) </w:t>
      </w:r>
    </w:p>
    <w:p>
      <w:pPr>
        <w:pStyle w:val="Para 25"/>
      </w:pPr>
      <w:r>
        <w:t/>
      </w:r>
    </w:p>
    <w:p>
      <w:pPr>
        <w:pStyle w:val="Para 10"/>
      </w:pPr>
      <w:r>
        <w:t xml:space="preserve">Listing 7.12: Locking the mouse and keyboard and restarting for AutoLogon. </w:t>
      </w:r>
    </w:p>
    <w:p>
      <w:pPr>
        <w:pStyle w:val="Para 25"/>
      </w:pPr>
      <w:r>
        <w:t/>
      </w:r>
    </w:p>
    <w:p>
      <w:pPr>
        <w:pStyle w:val="Normal"/>
      </w:pPr>
      <w:r>
        <w:t xml:space="preserve">Listing 7.13 shows an example script that lets you restore the system. You would precede this </w:t>
      </w:r>
    </w:p>
    <w:p>
      <w:pPr>
        <w:pStyle w:val="Normal"/>
      </w:pPr>
      <w:r>
        <w:t xml:space="preserve">code with whichever actions you want to automate as administrator. The batch file that was </w:t>
      </w:r>
    </w:p>
    <w:p>
      <w:pPr>
        <w:pStyle w:val="Normal"/>
      </w:pPr>
      <w:r>
        <w:t xml:space="preserve">added to RunOnce in the previous example would call the following script to restore control of the system. </w:t>
      </w:r>
    </w:p>
    <w:p>
      <w:pPr>
        <w:pStyle w:val="Para 25"/>
      </w:pPr>
      <w:r>
        <w:t/>
      </w:r>
    </w:p>
    <w:p>
      <w:pPr>
        <w:pStyle w:val="Para 03"/>
      </w:pPr>
      <w:r>
        <w:t xml:space="preserve">$WinLogonSubKey = "HKLM\SOFTWARE\Microsoft\Windows </w:t>
        <w:t xml:space="preserve">NT\CurrentVersion\Winlogon" </w:t>
      </w:r>
    </w:p>
    <w:p>
      <w:pPr>
        <w:pStyle w:val="Para 03"/>
      </w:pPr>
      <w:r>
        <w:t xml:space="preserve">$rc = WriteValue ($WinLogonSubKey,"AutoLogon","0","REG_SZ") </w:t>
        <w:t xml:space="preserve">$rc = WriteValue ($WinLogonSubKey,"DefaultUserName","") </w:t>
        <w:t xml:space="preserve">$rc = WriteValue ($WinLogonSubKey,"DefaultDomainName","","REG_SZ") </w:t>
        <w:t xml:space="preserve">$rc = DelValue ($WinLogonSubKey,"DefaultPassword") </w:t>
        <w:t xml:space="preserve">$ServicesSubKey = "HKLM\SYSTEM\CurrentControlSet\Services" </w:t>
        <w:t xml:space="preserve">$rc = WriteValue($ServicesKey + "\MouClass","Start","1","REG_SZ") </w:t>
        <w:t xml:space="preserve">$rc = WriteValue($ServicesKey + "\KbdClass","Start","1","REG_SZ") </w:t>
        <w:t xml:space="preserve">$rc = Shutdown("","Shutting Down to Restore System Control",10,1,1) </w:t>
      </w:r>
    </w:p>
    <w:p>
      <w:pPr>
        <w:pStyle w:val="Para 25"/>
      </w:pPr>
      <w:r>
        <w:t/>
      </w:r>
    </w:p>
    <w:p>
      <w:pPr>
        <w:pStyle w:val="Para 10"/>
      </w:pPr>
      <w:r>
        <w:t xml:space="preserve">Listing 7.13: Unlocking the mouse and keyboard and restarting to restore control. </w:t>
      </w:r>
    </w:p>
    <w:p>
      <w:pPr>
        <w:pStyle w:val="Para 25"/>
      </w:pPr>
      <w:r>
        <w:t/>
      </w:r>
    </w:p>
    <w:p>
      <w:pPr>
        <w:pStyle w:val="Para 12"/>
      </w:pPr>
      <w:r>
        <w:t xml:space="preserve">Summary </w:t>
      </w:r>
    </w:p>
    <w:p>
      <w:pPr>
        <w:pStyle w:val="Para 25"/>
      </w:pPr>
      <w:r>
        <w:t/>
      </w:r>
    </w:p>
    <w:p>
      <w:pPr>
        <w:pStyle w:val="Normal"/>
      </w:pPr>
      <w:r>
        <w:t xml:space="preserve">In this chapter, we covered some of the benefits and drawbacks to scripting as well as some tips about how to choose a scripting language. We discussed COM automation, and the ways you can </w:t>
      </w:r>
    </w:p>
    <w:p>
      <w:pPr>
        <w:pStyle w:val="Normal"/>
      </w:pPr>
      <w:r>
        <w:t xml:space="preserve">use it to interact with directory services, databases, and applications. Some common ways to run </w:t>
      </w:r>
    </w:p>
    <w:p>
      <w:pPr>
        <w:pStyle w:val="Normal"/>
      </w:pPr>
      <w:r>
        <w:t xml:space="preserve">your scripts were covered along with the order and security context for each. Finally, we went over some real-world implementations, including how to generate a list of machines on a </w:t>
      </w:r>
    </w:p>
    <w:p>
      <w:pPr>
        <w:pStyle w:val="Normal"/>
      </w:pPr>
      <w:r>
        <w:t xml:space="preserve">network and ways to then use these lists to reboot computers, manage event logs, and gather </w:t>
      </w:r>
    </w:p>
    <w:p>
      <w:pPr>
        <w:pStyle w:val="Normal"/>
      </w:pPr>
      <w:r>
        <w:t xml:space="preserve">software inventory. In the next and final chapter, we will discuss asset management—both </w:t>
      </w:r>
    </w:p>
    <w:p>
      <w:pPr>
        <w:pStyle w:val="Normal"/>
      </w:pPr>
      <w:r>
        <w:t>software and hardware, including the benefits and tools available to do so.</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59" name="index-199_1.png" descr="index-199_1.png"/>
            <wp:cNvGraphicFramePr>
              <a:graphicFrameLocks noChangeAspect="1"/>
            </wp:cNvGraphicFramePr>
            <a:graphic>
              <a:graphicData uri="http://schemas.openxmlformats.org/drawingml/2006/picture">
                <pic:pic>
                  <pic:nvPicPr>
                    <pic:cNvPr id="0" name="index-199_1.png" descr="index-199_1.png"/>
                    <pic:cNvPicPr/>
                  </pic:nvPicPr>
                  <pic:blipFill>
                    <a:blip r:embed="rId46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60" name="index-199_2.png" descr="index-199_2.png"/>
            <wp:cNvGraphicFramePr>
              <a:graphicFrameLocks noChangeAspect="1"/>
            </wp:cNvGraphicFramePr>
            <a:graphic>
              <a:graphicData uri="http://schemas.openxmlformats.org/drawingml/2006/picture">
                <pic:pic>
                  <pic:nvPicPr>
                    <pic:cNvPr id="0" name="index-199_2.png" descr="index-199_2.png"/>
                    <pic:cNvPicPr/>
                  </pic:nvPicPr>
                  <pic:blipFill>
                    <a:blip r:embed="rId464"/>
                    <a:stretch>
                      <a:fillRect/>
                    </a:stretch>
                  </pic:blipFill>
                  <pic:spPr>
                    <a:xfrm>
                      <a:off x="0" y="0"/>
                      <a:ext cx="914400" cy="444500"/>
                    </a:xfrm>
                    <a:prstGeom prst="rect">
                      <a:avLst/>
                    </a:prstGeom>
                  </pic:spPr>
                </pic:pic>
              </a:graphicData>
            </a:graphic>
          </wp:anchor>
        </w:drawing>
      </w:r>
    </w:p>
    <w:p>
      <w:pPr>
        <w:pStyle w:val="0 Block"/>
      </w:pPr>
    </w:p>
    <w:p>
      <w:bookmarkStart w:id="208" w:name="Chapter_8"/>
      <w:pPr>
        <w:pStyle w:val="Heading 1"/>
        <w:pageBreakBefore w:val="on"/>
      </w:pPr>
      <w:r>
        <w:t>Chapter 8</w:t>
      </w:r>
      <w:bookmarkEnd w:id="208"/>
    </w:p>
    <w:p>
      <w:pPr>
        <w:pStyle w:val="Para 25"/>
      </w:pPr>
      <w:r>
        <w:t/>
      </w:r>
    </w:p>
    <w:p>
      <w:pPr>
        <w:pStyle w:val="0 Block"/>
      </w:pPr>
    </w:p>
    <w:p>
      <w:bookmarkStart w:id="209" w:name="Chapter_8__Asset_Management"/>
      <w:pPr>
        <w:pStyle w:val="Para 23"/>
        <w:pageBreakBefore w:val="on"/>
      </w:pPr>
      <w:r>
        <w:t xml:space="preserve">Chapter 8: Asset Management </w:t>
      </w:r>
      <w:bookmarkEnd w:id="209"/>
    </w:p>
    <w:p>
      <w:pPr>
        <w:pStyle w:val="Para 25"/>
      </w:pPr>
      <w:r>
        <w:t/>
      </w:r>
    </w:p>
    <w:p>
      <w:pPr>
        <w:pStyle w:val="Normal"/>
      </w:pPr>
      <w:r>
        <w:t xml:space="preserve">Asset management is the tracking of technology assets including hardware and software: </w:t>
      </w:r>
    </w:p>
    <w:p>
      <w:pPr>
        <w:pStyle w:val="Normal"/>
      </w:pPr>
      <w:r>
        <w:t xml:space="preserve">knowing where they are, who is using them, and how they are being maintained. Asset </w:t>
      </w:r>
    </w:p>
    <w:p>
      <w:pPr>
        <w:pStyle w:val="Normal"/>
      </w:pPr>
      <w:r>
        <w:t xml:space="preserve">management is made up of a combination of policies and procedures that provide you with an invaluable view of your desktop systems. Depending upon your environment, asset management </w:t>
      </w:r>
    </w:p>
    <w:p>
      <w:pPr>
        <w:pStyle w:val="Normal"/>
      </w:pPr>
      <w:r>
        <w:t xml:space="preserve">may include any or all of the following topics, which we will cover in this chapter: </w:t>
      </w:r>
    </w:p>
    <w:p>
      <w:pPr>
        <w:pStyle w:val="Para 25"/>
      </w:pPr>
      <w:r>
        <w:t/>
      </w:r>
    </w:p>
    <w:p>
      <w:pPr>
        <w:pStyle w:val="Para 04"/>
      </w:pPr>
      <w:r>
        <w:t xml:space="preserve">• </w:t>
        <w:t xml:space="preserve">Inventory—Managing and tracking the location and ownership of physical technology </w:t>
      </w:r>
    </w:p>
    <w:p>
      <w:pPr>
        <w:pStyle w:val="Para 01"/>
      </w:pPr>
      <w:r>
        <w:t xml:space="preserve">assets </w:t>
      </w:r>
    </w:p>
    <w:p>
      <w:pPr>
        <w:pStyle w:val="Para 25"/>
      </w:pPr>
      <w:r>
        <w:t/>
      </w:r>
    </w:p>
    <w:p>
      <w:pPr>
        <w:pStyle w:val="Para 04"/>
      </w:pPr>
      <w:r>
        <w:t xml:space="preserve">• Software licensing—Tracking and managing software licenses </w:t>
      </w:r>
    </w:p>
    <w:p>
      <w:pPr>
        <w:pStyle w:val="Para 25"/>
      </w:pPr>
      <w:r>
        <w:t/>
      </w:r>
    </w:p>
    <w:p>
      <w:pPr>
        <w:pStyle w:val="Para 04"/>
      </w:pPr>
      <w:r>
        <w:t xml:space="preserve">• Change control—Administering the changes to your managed configuration </w:t>
      </w:r>
    </w:p>
    <w:p>
      <w:pPr>
        <w:pStyle w:val="Para 25"/>
      </w:pPr>
      <w:r>
        <w:t/>
      </w:r>
    </w:p>
    <w:p>
      <w:pPr>
        <w:pStyle w:val="Para 12"/>
      </w:pPr>
      <w:r>
        <w:t xml:space="preserve">Inventory </w:t>
      </w:r>
    </w:p>
    <w:p>
      <w:pPr>
        <w:pStyle w:val="Para 25"/>
      </w:pPr>
      <w:r>
        <w:t/>
      </w:r>
    </w:p>
    <w:p>
      <w:pPr>
        <w:pStyle w:val="Normal"/>
      </w:pPr>
      <w:r>
        <w:t xml:space="preserve">You may tend to think primarily of software inventory, but you also need to consider physical assets such as computers and their associated components (hard drives, scanners, printers, and so </w:t>
      </w:r>
    </w:p>
    <w:p>
      <w:pPr>
        <w:pStyle w:val="Normal"/>
      </w:pPr>
      <w:r>
        <w:t xml:space="preserve">on). In fact, some organizations even include assets such as desks, chairs, phones and other </w:t>
      </w:r>
    </w:p>
    <w:p>
      <w:pPr>
        <w:pStyle w:val="Normal"/>
      </w:pPr>
      <w:r>
        <w:t xml:space="preserve">office equipment in the inventory category. Tracking such things may seem irrelevant, and to you, the desktop administrator, they probably are. However, when establishing an inventory </w:t>
      </w:r>
    </w:p>
    <w:p>
      <w:pPr>
        <w:pStyle w:val="Normal"/>
      </w:pPr>
      <w:r>
        <w:t xml:space="preserve">system, you should keep in mind that it may be utilized as more than a tool just for the IT </w:t>
      </w:r>
    </w:p>
    <w:p>
      <w:pPr>
        <w:pStyle w:val="Normal"/>
      </w:pPr>
      <w:r>
        <w:t xml:space="preserve">department. </w:t>
      </w:r>
    </w:p>
    <w:p>
      <w:pPr>
        <w:pStyle w:val="Para 25"/>
      </w:pPr>
      <w:r>
        <w:t/>
      </w:r>
    </w:p>
    <w:p>
      <w:pPr>
        <w:pStyle w:val="Normal"/>
      </w:pPr>
      <w:r>
        <w:t xml:space="preserve">Depending upon your environment, it is often valuable to track additional information as it relates to your physical assets including: </w:t>
      </w:r>
    </w:p>
    <w:p>
      <w:pPr>
        <w:pStyle w:val="Para 25"/>
      </w:pPr>
      <w:r>
        <w:t/>
      </w:r>
    </w:p>
    <w:p>
      <w:pPr>
        <w:pStyle w:val="Para 04"/>
      </w:pPr>
      <w:r>
        <w:t xml:space="preserve">• Agreements </w:t>
      </w:r>
    </w:p>
    <w:p>
      <w:pPr>
        <w:pStyle w:val="Para 25"/>
      </w:pPr>
      <w:r>
        <w:t/>
      </w:r>
    </w:p>
    <w:p>
      <w:pPr>
        <w:pStyle w:val="Para 04"/>
      </w:pPr>
      <w:r>
        <w:t xml:space="preserve">• Leases </w:t>
      </w:r>
    </w:p>
    <w:p>
      <w:pPr>
        <w:pStyle w:val="Para 25"/>
      </w:pPr>
      <w:r>
        <w:t/>
      </w:r>
    </w:p>
    <w:p>
      <w:pPr>
        <w:pStyle w:val="Para 04"/>
      </w:pPr>
      <w:r>
        <w:t xml:space="preserve">• Contracts </w:t>
      </w:r>
    </w:p>
    <w:p>
      <w:pPr>
        <w:pStyle w:val="Para 25"/>
      </w:pPr>
      <w:r>
        <w:t/>
      </w:r>
    </w:p>
    <w:p>
      <w:pPr>
        <w:pStyle w:val="Para 04"/>
      </w:pPr>
      <w:r>
        <w:t xml:space="preserve">• Warrantee information </w:t>
      </w:r>
    </w:p>
    <w:p>
      <w:pPr>
        <w:pStyle w:val="Para 25"/>
      </w:pPr>
      <w:r>
        <w:t/>
      </w:r>
    </w:p>
    <w:p>
      <w:pPr>
        <w:pStyle w:val="Para 04"/>
      </w:pPr>
      <w:r>
        <w:t xml:space="preserve">• Maintenance schedules </w:t>
      </w:r>
    </w:p>
    <w:p>
      <w:pPr>
        <w:pStyle w:val="Para 25"/>
      </w:pPr>
      <w:r>
        <w:t/>
      </w:r>
    </w:p>
    <w:p>
      <w:pPr>
        <w:pStyle w:val="Para 04"/>
      </w:pPr>
      <w:r>
        <w:t xml:space="preserve">• Depreciation and other costs, such as repair </w:t>
      </w:r>
    </w:p>
    <w:p>
      <w:pPr>
        <w:pStyle w:val="Para 25"/>
      </w:pPr>
      <w:r>
        <w:t/>
      </w:r>
    </w:p>
    <w:p>
      <w:pPr>
        <w:pStyle w:val="Para 07"/>
      </w:pPr>
      <w:r>
        <w:t xml:space="preserve">Benefits of Maintaining an Updated Hardware Inventory </w:t>
      </w:r>
    </w:p>
    <w:p>
      <w:pPr>
        <w:pStyle w:val="Normal"/>
      </w:pPr>
      <w:r>
        <w:t xml:space="preserve">Particularly when dealing with software and hardware information, an accurate and up-to-date </w:t>
      </w:r>
    </w:p>
    <w:p>
      <w:pPr>
        <w:pStyle w:val="Normal"/>
      </w:pPr>
      <w:r>
        <w:t xml:space="preserve">inventory can help desktop administration efforts in providing valuable data for planning </w:t>
      </w:r>
    </w:p>
    <w:p>
      <w:pPr>
        <w:pStyle w:val="Normal"/>
      </w:pPr>
      <w:r>
        <w:t xml:space="preserve">upgrades. Additionally, loss and theft can be more easily identified and reported. When determining which systems would most benefit from replacement and which systems meet </w:t>
      </w:r>
    </w:p>
    <w:p>
      <w:pPr>
        <w:pStyle w:val="Normal"/>
      </w:pPr>
      <w:r>
        <w:t xml:space="preserve">certain minimum requirements, accurate computer inventory data is a critical tool. The following </w:t>
      </w:r>
    </w:p>
    <w:p>
      <w:pPr>
        <w:pStyle w:val="Normal"/>
      </w:pPr>
      <w:r>
        <w:t xml:space="preserve">sections highlight the benefits of maintaining an update inventory.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61" name="index-200_1.png" descr="index-200_1.png"/>
            <wp:cNvGraphicFramePr>
              <a:graphicFrameLocks noChangeAspect="1"/>
            </wp:cNvGraphicFramePr>
            <a:graphic>
              <a:graphicData uri="http://schemas.openxmlformats.org/drawingml/2006/picture">
                <pic:pic>
                  <pic:nvPicPr>
                    <pic:cNvPr id="0" name="index-200_1.png" descr="index-200_1.png"/>
                    <pic:cNvPicPr/>
                  </pic:nvPicPr>
                  <pic:blipFill>
                    <a:blip r:embed="rId46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62" name="index-200_2.png" descr="index-200_2.png"/>
            <wp:cNvGraphicFramePr>
              <a:graphicFrameLocks noChangeAspect="1"/>
            </wp:cNvGraphicFramePr>
            <a:graphic>
              <a:graphicData uri="http://schemas.openxmlformats.org/drawingml/2006/picture">
                <pic:pic>
                  <pic:nvPicPr>
                    <pic:cNvPr id="0" name="index-200_2.png" descr="index-200_2.png"/>
                    <pic:cNvPicPr/>
                  </pic:nvPicPr>
                  <pic:blipFill>
                    <a:blip r:embed="rId466"/>
                    <a:stretch>
                      <a:fillRect/>
                    </a:stretch>
                  </pic:blipFill>
                  <pic:spPr>
                    <a:xfrm>
                      <a:off x="0" y="0"/>
                      <a:ext cx="914400" cy="444500"/>
                    </a:xfrm>
                    <a:prstGeom prst="rect">
                      <a:avLst/>
                    </a:prstGeom>
                  </pic:spPr>
                </pic:pic>
              </a:graphicData>
            </a:graphic>
          </wp:anchor>
        </w:drawing>
      </w:r>
    </w:p>
    <w:p>
      <w:pPr>
        <w:pStyle w:val="0 Block"/>
      </w:pPr>
    </w:p>
    <w:p>
      <w:bookmarkStart w:id="210" w:name="Chapter_8_1"/>
      <w:pPr>
        <w:pStyle w:val="Heading 1"/>
        <w:pageBreakBefore w:val="on"/>
      </w:pPr>
      <w:r>
        <w:t>Chapter 8</w:t>
      </w:r>
      <w:bookmarkEnd w:id="210"/>
    </w:p>
    <w:p>
      <w:pPr>
        <w:pStyle w:val="Para 25"/>
      </w:pPr>
      <w:r>
        <w:t/>
      </w:r>
    </w:p>
    <w:p>
      <w:pPr>
        <w:pStyle w:val="Para 09"/>
      </w:pPr>
      <w:r>
        <w:t xml:space="preserve">Ensuring Minimum System Requirements Are Met </w:t>
      </w:r>
    </w:p>
    <w:p>
      <w:pPr>
        <w:pStyle w:val="Para 25"/>
      </w:pPr>
      <w:r>
        <w:t/>
      </w:r>
    </w:p>
    <w:p>
      <w:pPr>
        <w:pStyle w:val="Normal"/>
      </w:pPr>
      <w:r>
        <w:t xml:space="preserve">Every Windows software application provides a minimum and recommended hardware </w:t>
      </w:r>
    </w:p>
    <w:p>
      <w:pPr>
        <w:pStyle w:val="Normal"/>
      </w:pPr>
      <w:r>
        <w:t xml:space="preserve">configuration. Outside high-end imaging products and games, it is commonplace to see minimum requirements far below what you would consider a worthy network client. However, </w:t>
      </w:r>
    </w:p>
    <w:p>
      <w:pPr>
        <w:pStyle w:val="Normal"/>
      </w:pPr>
      <w:r>
        <w:t xml:space="preserve">unless you have established a workstation lifecycle that rotates old hardware off your network, </w:t>
      </w:r>
    </w:p>
    <w:p>
      <w:pPr>
        <w:pStyle w:val="Normal"/>
      </w:pPr>
      <w:r>
        <w:t xml:space="preserve">you may very well find you have client systems in need of software that their hardware cannot adequately support. </w:t>
      </w:r>
    </w:p>
    <w:p>
      <w:pPr>
        <w:pStyle w:val="Para 25"/>
      </w:pPr>
      <w:r>
        <w:t/>
      </w:r>
    </w:p>
    <w:p>
      <w:pPr>
        <w:pStyle w:val="Normal"/>
      </w:pPr>
      <w:r>
        <w:t xml:space="preserve">In most environments, it is the upgrade to a new version of Windows that dictates the most </w:t>
      </w:r>
    </w:p>
    <w:p>
      <w:pPr>
        <w:pStyle w:val="Normal"/>
      </w:pPr>
      <w:r>
        <w:t xml:space="preserve">spiked increase in minimum hardware requirements. Having the ability to quickly identify </w:t>
      </w:r>
    </w:p>
    <w:p>
      <w:pPr>
        <w:pStyle w:val="Normal"/>
      </w:pPr>
      <w:r>
        <w:t xml:space="preserve">systems that require updates is a vital step in executing a smooth migration. </w:t>
      </w:r>
    </w:p>
    <w:p>
      <w:pPr>
        <w:pStyle w:val="Para 25"/>
      </w:pPr>
      <w:r>
        <w:t/>
      </w:r>
    </w:p>
    <w:p>
      <w:pPr>
        <w:pStyle w:val="Normal"/>
      </w:pPr>
      <w:r>
        <w:t xml:space="preserve">Minimum system requirements dictate the software or OS vendors’ lowest possible configuration </w:t>
      </w:r>
    </w:p>
    <w:p>
      <w:pPr>
        <w:pStyle w:val="Normal"/>
      </w:pPr>
      <w:r>
        <w:t xml:space="preserve">recommendation. Oftentimes these minimum requirements are not enforced, so it is possible for </w:t>
      </w:r>
    </w:p>
    <w:p>
      <w:pPr>
        <w:pStyle w:val="Normal"/>
      </w:pPr>
      <w:r>
        <w:t xml:space="preserve">you to perform the installation on lesser systems. Aside from poor performance as a result of such installations, if failures occur, you are not likely to get much help from the product’s </w:t>
      </w:r>
    </w:p>
    <w:p>
      <w:pPr>
        <w:pStyle w:val="Normal"/>
      </w:pPr>
      <w:r>
        <w:t xml:space="preserve">support department. </w:t>
      </w:r>
    </w:p>
    <w:p>
      <w:pPr>
        <w:pStyle w:val="Para 25"/>
      </w:pPr>
      <w:r>
        <w:t/>
      </w:r>
    </w:p>
    <w:p>
      <w:pPr>
        <w:pStyle w:val="Normal"/>
      </w:pPr>
      <w:r>
        <w:t xml:space="preserve">Recommended system requirements are usually listed along with the minimum requirements. Whenever possible, it is these recommended requirements that should be your goal to meet (or, </w:t>
      </w:r>
    </w:p>
    <w:p>
      <w:pPr>
        <w:pStyle w:val="Normal"/>
      </w:pPr>
      <w:r>
        <w:t xml:space="preserve">hopefully, exceed). As Table 8.1 illustrates, Windows’ system requirements have become </w:t>
      </w:r>
    </w:p>
    <w:p>
      <w:pPr>
        <w:pStyle w:val="Normal"/>
      </w:pPr>
      <w:r>
        <w:t xml:space="preserve">increasingly demanding with each release. </w:t>
      </w:r>
    </w:p>
    <w:p>
      <w:pPr>
        <w:pStyle w:val="Para 25"/>
      </w:pPr>
      <w:r>
        <w:t/>
      </w:r>
    </w:p>
    <w:p>
      <w:pPr>
        <w:pStyle w:val="Para 18"/>
      </w:pPr>
      <w:r>
        <w:t xml:space="preserve">OS Processor </w:t>
        <w:t xml:space="preserve">RAM </w:t>
        <w:t xml:space="preserve">Hard </w:t>
        <w:t xml:space="preserve">Drive </w:t>
        <w:t xml:space="preserve">Video </w:t>
      </w:r>
    </w:p>
    <w:p>
      <w:pPr>
        <w:pStyle w:val="Para 03"/>
      </w:pPr>
      <w:r>
        <w:t xml:space="preserve">Windows 95 </w:t>
      </w:r>
      <w:r>
        <w:rPr>
          <w:rStyle w:val="Text2"/>
        </w:rPr>
        <w:t xml:space="preserve"> </w:t>
      </w:r>
      <w:r>
        <w:t xml:space="preserve">386DX (486) </w:t>
      </w:r>
      <w:r>
        <w:rPr>
          <w:rStyle w:val="Text2"/>
        </w:rPr>
        <w:t xml:space="preserve"> </w:t>
      </w:r>
      <w:r>
        <w:t xml:space="preserve">4MB (8MB) </w:t>
      </w:r>
      <w:r>
        <w:rPr>
          <w:rStyle w:val="Text2"/>
        </w:rPr>
        <w:t xml:space="preserve"> </w:t>
      </w:r>
      <w:r>
        <w:t xml:space="preserve">55MB </w:t>
      </w:r>
      <w:r>
        <w:rPr>
          <w:rStyle w:val="Text2"/>
        </w:rPr>
        <w:t xml:space="preserve"> </w:t>
      </w:r>
      <w:r>
        <w:t xml:space="preserve">VGA (SVGA) </w:t>
      </w:r>
    </w:p>
    <w:p>
      <w:pPr>
        <w:pStyle w:val="Para 03"/>
      </w:pPr>
      <w:r>
        <w:t xml:space="preserve">Windows 98 </w:t>
      </w:r>
      <w:r>
        <w:rPr>
          <w:rStyle w:val="Text2"/>
        </w:rPr>
        <w:t xml:space="preserve"> </w:t>
      </w:r>
      <w:r>
        <w:t xml:space="preserve">486/66 (Pentium) </w:t>
      </w:r>
      <w:r>
        <w:rPr>
          <w:rStyle w:val="Text2"/>
        </w:rPr>
        <w:t xml:space="preserve"> </w:t>
      </w:r>
      <w:r>
        <w:t xml:space="preserve">16MB (24MB) </w:t>
      </w:r>
      <w:r>
        <w:rPr>
          <w:rStyle w:val="Text2"/>
        </w:rPr>
        <w:t xml:space="preserve"> </w:t>
      </w:r>
      <w:r>
        <w:t xml:space="preserve">355MB </w:t>
      </w:r>
      <w:r>
        <w:rPr>
          <w:rStyle w:val="Text2"/>
        </w:rPr>
        <w:t xml:space="preserve"> </w:t>
      </w:r>
      <w:r>
        <w:t xml:space="preserve">VGA (SVGA) </w:t>
      </w:r>
    </w:p>
    <w:p>
      <w:pPr>
        <w:pStyle w:val="Para 03"/>
      </w:pPr>
      <w:r>
        <w:t xml:space="preserve">Windows NT </w:t>
      </w:r>
      <w:r>
        <w:rPr>
          <w:rStyle w:val="Text2"/>
        </w:rPr>
        <w:t xml:space="preserve"> </w:t>
      </w:r>
      <w:r>
        <w:t xml:space="preserve">Pentium </w:t>
      </w:r>
      <w:r>
        <w:rPr>
          <w:rStyle w:val="Text2"/>
        </w:rPr>
        <w:t xml:space="preserve"> </w:t>
      </w:r>
      <w:r>
        <w:t xml:space="preserve">16MB (32MB) </w:t>
      </w:r>
      <w:r>
        <w:rPr>
          <w:rStyle w:val="Text2"/>
        </w:rPr>
        <w:t xml:space="preserve"> </w:t>
      </w:r>
      <w:r>
        <w:t xml:space="preserve">110MB </w:t>
      </w:r>
      <w:r>
        <w:rPr>
          <w:rStyle w:val="Text2"/>
        </w:rPr>
        <w:t xml:space="preserve"> </w:t>
      </w:r>
      <w:r>
        <w:t xml:space="preserve">VGA (SVGA) </w:t>
      </w:r>
    </w:p>
    <w:p>
      <w:pPr>
        <w:pStyle w:val="Para 03"/>
      </w:pPr>
      <w:r>
        <w:t xml:space="preserve">Windows ME </w:t>
      </w:r>
      <w:r>
        <w:rPr>
          <w:rStyle w:val="Text2"/>
        </w:rPr>
        <w:t xml:space="preserve"> </w:t>
      </w:r>
      <w:r>
        <w:t xml:space="preserve">Pentium 150 </w:t>
      </w:r>
      <w:r>
        <w:rPr>
          <w:rStyle w:val="Text2"/>
        </w:rPr>
        <w:t xml:space="preserve"> </w:t>
      </w:r>
      <w:r>
        <w:t xml:space="preserve">32MB </w:t>
      </w:r>
      <w:r>
        <w:rPr>
          <w:rStyle w:val="Text2"/>
        </w:rPr>
        <w:t xml:space="preserve"> </w:t>
      </w:r>
      <w:r>
        <w:t xml:space="preserve">320MB </w:t>
      </w:r>
      <w:r>
        <w:rPr>
          <w:rStyle w:val="Text2"/>
        </w:rPr>
        <w:t xml:space="preserve"> </w:t>
      </w:r>
      <w:r>
        <w:t xml:space="preserve">VGA (SVGA) </w:t>
      </w:r>
    </w:p>
    <w:p>
      <w:pPr>
        <w:pStyle w:val="Para 03"/>
      </w:pPr>
      <w:r>
        <w:t xml:space="preserve">Windows 2000 </w:t>
      </w:r>
      <w:r>
        <w:rPr>
          <w:rStyle w:val="Text2"/>
        </w:rPr>
        <w:t xml:space="preserve"> </w:t>
      </w:r>
      <w:r>
        <w:t xml:space="preserve">Pentium 133 </w:t>
      </w:r>
      <w:r>
        <w:rPr>
          <w:rStyle w:val="Text2"/>
        </w:rPr>
        <w:t xml:space="preserve"> </w:t>
      </w:r>
      <w:r>
        <w:t xml:space="preserve">64MB </w:t>
      </w:r>
      <w:r>
        <w:rPr>
          <w:rStyle w:val="Text2"/>
        </w:rPr>
        <w:t xml:space="preserve"> </w:t>
      </w:r>
      <w:r>
        <w:t xml:space="preserve">2GB </w:t>
      </w:r>
      <w:r>
        <w:rPr>
          <w:rStyle w:val="Text2"/>
        </w:rPr>
        <w:t xml:space="preserve"> </w:t>
      </w:r>
      <w:r>
        <w:t xml:space="preserve">VGA (SVGA) </w:t>
      </w:r>
    </w:p>
    <w:p>
      <w:pPr>
        <w:pStyle w:val="Para 03"/>
      </w:pPr>
      <w:r>
        <w:t xml:space="preserve">Windows XP </w:t>
      </w:r>
      <w:r>
        <w:rPr>
          <w:rStyle w:val="Text2"/>
        </w:rPr>
        <w:t xml:space="preserve"> </w:t>
      </w:r>
      <w:r>
        <w:t xml:space="preserve">Pentium 233 (300) 64MB (128MB) </w:t>
      </w:r>
      <w:r>
        <w:rPr>
          <w:rStyle w:val="Text2"/>
        </w:rPr>
        <w:t xml:space="preserve"> </w:t>
      </w:r>
      <w:r>
        <w:t xml:space="preserve">1.5GB </w:t>
      </w:r>
      <w:r>
        <w:rPr>
          <w:rStyle w:val="Text2"/>
        </w:rPr>
        <w:t xml:space="preserve"> </w:t>
      </w:r>
      <w:r>
        <w:t xml:space="preserve">SVGA </w:t>
      </w:r>
    </w:p>
    <w:p>
      <w:pPr>
        <w:pStyle w:val="Para 25"/>
      </w:pPr>
      <w:r>
        <w:t/>
      </w:r>
    </w:p>
    <w:p>
      <w:pPr>
        <w:pStyle w:val="Para 10"/>
      </w:pPr>
      <w:r>
        <w:t xml:space="preserve">Table 8.1: Windows minimum requirements (recommended requirements are listed in parenthesis). </w:t>
      </w:r>
    </w:p>
    <w:p>
      <w:pPr>
        <w:pStyle w:val="Para 25"/>
      </w:pPr>
      <w:r>
        <w:t/>
      </w:r>
    </w:p>
    <w:p>
      <w:pPr>
        <w:pStyle w:val="Normal"/>
      </w:pPr>
      <w:r>
        <w:t xml:space="preserve">The Windows Hardware Compatibility List (HCL) contains a list of computer systems and </w:t>
      </w:r>
    </w:p>
    <w:p>
      <w:pPr>
        <w:pStyle w:val="Normal"/>
      </w:pPr>
      <w:r>
        <w:t xml:space="preserve">peripherals that have been tested and deemed compatible with Windows. The HCL is often </w:t>
      </w:r>
    </w:p>
    <w:p>
      <w:pPr>
        <w:pStyle w:val="Normal"/>
      </w:pPr>
      <w:r>
        <w:t xml:space="preserve">overlooked until problems arise. Particularly if you have added components or peripherals to your systems, take the time to ensure that there are not compatibility issues prior to rolling out a </w:t>
      </w:r>
    </w:p>
    <w:p>
      <w:pPr>
        <w:pStyle w:val="Normal"/>
      </w:pPr>
      <w:r>
        <w:t xml:space="preserve">new version of Windows. Compatibility issues have become such a matter of contention since </w:t>
      </w:r>
    </w:p>
    <w:p>
      <w:pPr>
        <w:pStyle w:val="Normal"/>
      </w:pPr>
      <w:r>
        <w:t xml:space="preserve">the release of Win2K that Microsoft now provides a database of not only hardware, but also computer brands and software that have passed compatibility testing. You may search the </w:t>
      </w:r>
    </w:p>
    <w:p>
      <w:pPr>
        <w:pStyle w:val="Normal"/>
      </w:pPr>
      <w:r>
        <w:t xml:space="preserve">database online at http://www.microsoft.com/whdc/hcl/default.mspx. </w:t>
      </w:r>
    </w:p>
    <w:p>
      <w:pPr>
        <w:pStyle w:val="Para 25"/>
      </w:pPr>
      <w:r>
        <w:t/>
      </w:r>
    </w:p>
    <w:p>
      <w:pPr>
        <w:pStyle w:val="Para 02"/>
      </w:pPr>
      <w:r>
        <w:t xml:space="preserve">Because of the Advanced Computer Power Interface (ACPI) capabilities introduced with Win2K, a </w:t>
      </w:r>
    </w:p>
    <w:p>
      <w:pPr>
        <w:pStyle w:val="Para 02"/>
      </w:pPr>
      <w:r>
        <w:t xml:space="preserve">BIOS update may be required to ensure stability. Failure to install recommended BIOS updates may </w:t>
      </w:r>
    </w:p>
    <w:p>
      <w:pPr>
        <w:pStyle w:val="Para 02"/>
      </w:pPr>
      <w:r>
        <w:t xml:space="preserve">result in system hardware errors. For more information, see </w:t>
      </w:r>
    </w:p>
    <w:p>
      <w:pPr>
        <w:pStyle w:val="Para 02"/>
      </w:pPr>
      <w:r>
        <w:t xml:space="preserve">http://www.microsoft.com/windows2000/server/howtobuy/upgrading/compat/biosissue.asp.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63" name="index-201_1.png" descr="index-201_1.png"/>
            <wp:cNvGraphicFramePr>
              <a:graphicFrameLocks noChangeAspect="1"/>
            </wp:cNvGraphicFramePr>
            <a:graphic>
              <a:graphicData uri="http://schemas.openxmlformats.org/drawingml/2006/picture">
                <pic:pic>
                  <pic:nvPicPr>
                    <pic:cNvPr id="0" name="index-201_1.png" descr="index-201_1.png"/>
                    <pic:cNvPicPr/>
                  </pic:nvPicPr>
                  <pic:blipFill>
                    <a:blip r:embed="rId46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64" name="index-201_2.png" descr="index-201_2.png"/>
            <wp:cNvGraphicFramePr>
              <a:graphicFrameLocks noChangeAspect="1"/>
            </wp:cNvGraphicFramePr>
            <a:graphic>
              <a:graphicData uri="http://schemas.openxmlformats.org/drawingml/2006/picture">
                <pic:pic>
                  <pic:nvPicPr>
                    <pic:cNvPr id="0" name="index-201_2.png" descr="index-201_2.png"/>
                    <pic:cNvPicPr/>
                  </pic:nvPicPr>
                  <pic:blipFill>
                    <a:blip r:embed="rId468"/>
                    <a:stretch>
                      <a:fillRect/>
                    </a:stretch>
                  </pic:blipFill>
                  <pic:spPr>
                    <a:xfrm>
                      <a:off x="0" y="0"/>
                      <a:ext cx="914400" cy="444500"/>
                    </a:xfrm>
                    <a:prstGeom prst="rect">
                      <a:avLst/>
                    </a:prstGeom>
                  </pic:spPr>
                </pic:pic>
              </a:graphicData>
            </a:graphic>
          </wp:anchor>
        </w:drawing>
      </w:r>
    </w:p>
    <w:p>
      <w:pPr>
        <w:pStyle w:val="0 Block"/>
      </w:pPr>
    </w:p>
    <w:p>
      <w:bookmarkStart w:id="211" w:name="Chapter_8_2"/>
      <w:pPr>
        <w:pStyle w:val="Heading 1"/>
        <w:pageBreakBefore w:val="on"/>
      </w:pPr>
      <w:r>
        <w:t>Chapter 8</w:t>
      </w:r>
      <w:bookmarkEnd w:id="211"/>
    </w:p>
    <w:p>
      <w:pPr>
        <w:pStyle w:val="Para 25"/>
      </w:pPr>
      <w:r>
        <w:t/>
      </w:r>
    </w:p>
    <w:p>
      <w:pPr>
        <w:pStyle w:val="Para 02"/>
      </w:pPr>
      <w:r>
        <w:t xml:space="preserve">A hardware compatibility test kit is provided by Microsoft for hardware manufacturers along with a </w:t>
      </w:r>
    </w:p>
    <w:p>
      <w:pPr>
        <w:pStyle w:val="Para 02"/>
      </w:pPr>
      <w:r>
        <w:t xml:space="preserve">submission tool and procedures at http://www.microsoft.com/whdc/hwtest/default.mspx. </w:t>
      </w:r>
    </w:p>
    <w:p>
      <w:pPr>
        <w:pStyle w:val="Para 25"/>
      </w:pPr>
      <w:r>
        <w:t/>
      </w:r>
    </w:p>
    <w:p>
      <w:pPr>
        <w:pStyle w:val="Para 09"/>
      </w:pPr>
      <w:r>
        <w:t xml:space="preserve">Knowing Where to Replace Hardware </w:t>
      </w:r>
    </w:p>
    <w:p>
      <w:pPr>
        <w:pStyle w:val="Para 25"/>
      </w:pPr>
      <w:r>
        <w:t/>
      </w:r>
    </w:p>
    <w:p>
      <w:pPr>
        <w:pStyle w:val="Normal"/>
      </w:pPr>
      <w:r>
        <w:t xml:space="preserve">You have just learned of a new shipment of computers coming in—who will get them? Twenty new machines may mean many more than 20 users receive new computers—many organizations </w:t>
      </w:r>
    </w:p>
    <w:p>
      <w:pPr>
        <w:pStyle w:val="Normal"/>
      </w:pPr>
      <w:r>
        <w:t xml:space="preserve">will replace a mid-grade system with a high-grade system, then take that mid-grade system and </w:t>
      </w:r>
    </w:p>
    <w:p>
      <w:pPr>
        <w:pStyle w:val="Normal"/>
      </w:pPr>
      <w:r>
        <w:t xml:space="preserve">replace a low-grade system. Often referred to as </w:t>
      </w:r>
      <w:r>
        <w:rPr>
          <w:rStyle w:val="Text0"/>
        </w:rPr>
        <w:t>cascading</w:t>
      </w:r>
      <w:r>
        <w:t xml:space="preserve">, more users benefit from new systems </w:t>
      </w:r>
    </w:p>
    <w:p>
      <w:pPr>
        <w:pStyle w:val="Normal"/>
      </w:pPr>
      <w:r>
        <w:t xml:space="preserve">utilizing this practice. Without sufficient hardware inventory data, it is difficult to identify proper candidates for cascading. </w:t>
      </w:r>
    </w:p>
    <w:p>
      <w:pPr>
        <w:pStyle w:val="Para 25"/>
      </w:pPr>
      <w:r>
        <w:t/>
      </w:r>
    </w:p>
    <w:p>
      <w:pPr>
        <w:pStyle w:val="Para 02"/>
      </w:pPr>
      <w:r>
        <w:t xml:space="preserve">One situation in which the replacement of systems may become routine is for companies that choose </w:t>
      </w:r>
    </w:p>
    <w:p>
      <w:pPr>
        <w:pStyle w:val="Para 02"/>
      </w:pPr>
      <w:r>
        <w:t xml:space="preserve">to lease computers for a 2- or 3-year period. This option might less expensive than the regular </w:t>
      </w:r>
    </w:p>
    <w:p>
      <w:pPr>
        <w:pStyle w:val="Para 02"/>
      </w:pPr>
      <w:r>
        <w:t xml:space="preserve">purchase of new systems, and (if it is deemed acceptable) the preinstalled OS and software that </w:t>
      </w:r>
    </w:p>
    <w:p>
      <w:pPr>
        <w:pStyle w:val="Para 02"/>
      </w:pPr>
      <w:r>
        <w:t xml:space="preserve">comes on a new system could reduce administrative efforts in their deployment. </w:t>
      </w:r>
    </w:p>
    <w:p>
      <w:pPr>
        <w:pStyle w:val="Para 25"/>
      </w:pPr>
      <w:r>
        <w:t/>
      </w:r>
    </w:p>
    <w:p>
      <w:pPr>
        <w:pStyle w:val="Para 19"/>
      </w:pPr>
      <w:r>
        <w:t xml:space="preserve">What to Do with Those Old Computers? </w:t>
      </w:r>
    </w:p>
    <w:p>
      <w:pPr>
        <w:pStyle w:val="Para 03"/>
      </w:pPr>
      <w:r>
        <w:t xml:space="preserve">Donating or recycling your old computers and peripherals can not only help the receiving organization, </w:t>
        <w:t xml:space="preserve">but will also provide your own organization a tax break. When donating, be sure to remove all personal </w:t>
        <w:t xml:space="preserve">files from the hard drive before you offer a computer for donation. You should also obtain a receipt to </w:t>
        <w:t xml:space="preserve">document the transfer of ownership. An example where this may become of value is if a computer with a </w:t>
        <w:t xml:space="preserve">battery is discovered in the trash (which is illegal) you can show that you are not longer responsible for it. </w:t>
      </w:r>
    </w:p>
    <w:p>
      <w:pPr>
        <w:pStyle w:val="Para 03"/>
      </w:pPr>
      <w:r>
        <w:t xml:space="preserve">Ensure that you are comfortable with the organization receiving your donation. Ask them to provide proof </w:t>
        <w:t xml:space="preserve">of nonprofit status before you make your donation. Any legal nonprofit organization or school should be </w:t>
        <w:t xml:space="preserve">able to provide a letter of request on their letterhead. They should also be able to provide you with copy of </w:t>
        <w:t xml:space="preserve">their state or federal nonprofit organization registration form. </w:t>
      </w:r>
    </w:p>
    <w:p>
      <w:pPr>
        <w:pStyle w:val="Para 03"/>
      </w:pPr>
      <w:r>
        <w:t xml:space="preserve">Share the Technology is an all-volunteer run non-profit organization with a mission is to help salvage </w:t>
        <w:t xml:space="preserve">recently retired computers while they are still useful, prevent their premature destruction, and get them </w:t>
        <w:t xml:space="preserve">into the hands of schools, people with disabilities, and nonprofit organizations that can put them to good </w:t>
        <w:t xml:space="preserve">use. Visit the Share the Technology Web site at http://sharetechnology.org. </w:t>
      </w:r>
    </w:p>
    <w:p>
      <w:pPr>
        <w:pStyle w:val="Para 25"/>
      </w:pPr>
      <w:r>
        <w:t/>
      </w:r>
    </w:p>
    <w:p>
      <w:pPr>
        <w:pStyle w:val="Para 09"/>
      </w:pPr>
      <w:r>
        <w:t xml:space="preserve">Enhancing System Components </w:t>
      </w:r>
    </w:p>
    <w:p>
      <w:pPr>
        <w:pStyle w:val="Para 25"/>
      </w:pPr>
      <w:r>
        <w:t/>
      </w:r>
    </w:p>
    <w:p>
      <w:pPr>
        <w:pStyle w:val="Normal"/>
      </w:pPr>
      <w:r>
        <w:t xml:space="preserve">Where budgets are limited, it is often beneficial to purchase components such as larger hard </w:t>
      </w:r>
    </w:p>
    <w:p>
      <w:pPr>
        <w:pStyle w:val="Normal"/>
      </w:pPr>
      <w:r>
        <w:t xml:space="preserve">drives, additional memory, and even faster processors to replace existing components that may </w:t>
      </w:r>
    </w:p>
    <w:p>
      <w:pPr>
        <w:pStyle w:val="Normal"/>
      </w:pPr>
      <w:r>
        <w:t xml:space="preserve">require updating. Unless all the systems in your organization are identical, you will benefit greatly from inventory data to accurately identify which components of which systems should be </w:t>
      </w:r>
    </w:p>
    <w:p>
      <w:pPr>
        <w:pStyle w:val="Normal"/>
      </w:pPr>
      <w:r>
        <w:t xml:space="preserve">upgraded. Additionally, inventory data will need to be updated or generated in order to account </w:t>
      </w:r>
    </w:p>
    <w:p>
      <w:pPr>
        <w:pStyle w:val="Normal"/>
      </w:pPr>
      <w:r>
        <w:t xml:space="preserve">for the location of these new components in your organization. </w:t>
      </w:r>
    </w:p>
    <w:p>
      <w:pPr>
        <w:pStyle w:val="Para 25"/>
      </w:pPr>
      <w:r>
        <w:t/>
      </w:r>
    </w:p>
    <w:p>
      <w:pPr>
        <w:pStyle w:val="Para 09"/>
      </w:pPr>
      <w:r>
        <w:t xml:space="preserve">Improving Help Desk Productivity </w:t>
      </w:r>
    </w:p>
    <w:p>
      <w:pPr>
        <w:pStyle w:val="Para 25"/>
      </w:pPr>
      <w:r>
        <w:t/>
      </w:r>
    </w:p>
    <w:p>
      <w:pPr>
        <w:pStyle w:val="Normal"/>
      </w:pPr>
      <w:r>
        <w:t xml:space="preserve">Gartner Group estimates that as much as 50 percent of the time spent on a Help desk call is used </w:t>
      </w:r>
    </w:p>
    <w:p>
      <w:pPr>
        <w:pStyle w:val="Normal"/>
      </w:pPr>
      <w:r>
        <w:t xml:space="preserve">to determine the system’s hardware and software configuration. Inventory reports could be used to provide Help desk technicians a detailed report about the troubled PCs configuration quickly.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65" name="index-202_1.png" descr="index-202_1.png"/>
            <wp:cNvGraphicFramePr>
              <a:graphicFrameLocks noChangeAspect="1"/>
            </wp:cNvGraphicFramePr>
            <a:graphic>
              <a:graphicData uri="http://schemas.openxmlformats.org/drawingml/2006/picture">
                <pic:pic>
                  <pic:nvPicPr>
                    <pic:cNvPr id="0" name="index-202_1.png" descr="index-202_1.png"/>
                    <pic:cNvPicPr/>
                  </pic:nvPicPr>
                  <pic:blipFill>
                    <a:blip r:embed="rId46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66" name="index-202_2.png" descr="index-202_2.png"/>
            <wp:cNvGraphicFramePr>
              <a:graphicFrameLocks noChangeAspect="1"/>
            </wp:cNvGraphicFramePr>
            <a:graphic>
              <a:graphicData uri="http://schemas.openxmlformats.org/drawingml/2006/picture">
                <pic:pic>
                  <pic:nvPicPr>
                    <pic:cNvPr id="0" name="index-202_2.png" descr="index-202_2.png"/>
                    <pic:cNvPicPr/>
                  </pic:nvPicPr>
                  <pic:blipFill>
                    <a:blip r:embed="rId470"/>
                    <a:stretch>
                      <a:fillRect/>
                    </a:stretch>
                  </pic:blipFill>
                  <pic:spPr>
                    <a:xfrm>
                      <a:off x="0" y="0"/>
                      <a:ext cx="914400" cy="444500"/>
                    </a:xfrm>
                    <a:prstGeom prst="rect">
                      <a:avLst/>
                    </a:prstGeom>
                  </pic:spPr>
                </pic:pic>
              </a:graphicData>
            </a:graphic>
          </wp:anchor>
        </w:drawing>
      </w:r>
    </w:p>
    <w:p>
      <w:pPr>
        <w:pStyle w:val="0 Block"/>
      </w:pPr>
    </w:p>
    <w:p>
      <w:bookmarkStart w:id="212" w:name="Chapter_8_3"/>
      <w:pPr>
        <w:pStyle w:val="Heading 1"/>
        <w:pageBreakBefore w:val="on"/>
      </w:pPr>
      <w:r>
        <w:t>Chapter 8</w:t>
      </w:r>
      <w:bookmarkEnd w:id="212"/>
    </w:p>
    <w:p>
      <w:pPr>
        <w:pStyle w:val="Para 25"/>
      </w:pPr>
      <w:r>
        <w:t/>
      </w:r>
    </w:p>
    <w:p>
      <w:pPr>
        <w:pStyle w:val="Normal"/>
      </w:pPr>
      <w:r>
        <w:t xml:space="preserve">The more information you have about what’s happening on your user’s desktops, the more </w:t>
      </w:r>
    </w:p>
    <w:p>
      <w:pPr>
        <w:pStyle w:val="Normal"/>
      </w:pPr>
      <w:r>
        <w:t xml:space="preserve">efficiently you can resolve the user’s problem. You can speed the troubleshooting process by </w:t>
      </w:r>
    </w:p>
    <w:p>
      <w:pPr>
        <w:pStyle w:val="Normal"/>
      </w:pPr>
      <w:r>
        <w:t xml:space="preserve">having the details of the problem system available to you without having to ask the user or examine the system. Additionally, by not having to ask questions, user confidence may also be </w:t>
      </w:r>
    </w:p>
    <w:p>
      <w:pPr>
        <w:pStyle w:val="Normal"/>
      </w:pPr>
      <w:r>
        <w:t xml:space="preserve">increased. </w:t>
      </w:r>
    </w:p>
    <w:p>
      <w:pPr>
        <w:pStyle w:val="Para 25"/>
      </w:pPr>
      <w:r>
        <w:t/>
      </w:r>
    </w:p>
    <w:p>
      <w:pPr>
        <w:pStyle w:val="Normal"/>
      </w:pPr>
      <w:r>
        <w:t>If the system reporting trouble has non-standard components and you are aware of these components as a result of an updated inventory, you might be able to look first at the non-</w:t>
      </w:r>
    </w:p>
    <w:p>
      <w:pPr>
        <w:pStyle w:val="Normal"/>
      </w:pPr>
      <w:r>
        <w:t xml:space="preserve">standard component as a way to help you to identify a potential cause for the problem. Further, if </w:t>
      </w:r>
    </w:p>
    <w:p>
      <w:pPr>
        <w:pStyle w:val="Normal"/>
      </w:pPr>
      <w:r>
        <w:t xml:space="preserve">you identify a problem with a certain device, you can proactively check on other systems that </w:t>
      </w:r>
    </w:p>
    <w:p>
      <w:pPr>
        <w:pStyle w:val="Normal"/>
      </w:pPr>
      <w:r>
        <w:t xml:space="preserve">may be at risk. In addition, tracking changes often helps you identify a problem that begins occurring as result of a hardware or software change. </w:t>
      </w:r>
    </w:p>
    <w:p>
      <w:pPr>
        <w:pStyle w:val="Para 25"/>
      </w:pPr>
      <w:r>
        <w:t/>
      </w:r>
    </w:p>
    <w:p>
      <w:pPr>
        <w:pStyle w:val="Para 09"/>
      </w:pPr>
      <w:r>
        <w:t xml:space="preserve">Deterring Loss and Theft </w:t>
      </w:r>
    </w:p>
    <w:p>
      <w:pPr>
        <w:pStyle w:val="Para 25"/>
      </w:pPr>
      <w:r>
        <w:t/>
      </w:r>
    </w:p>
    <w:p>
      <w:pPr>
        <w:pStyle w:val="Normal"/>
      </w:pPr>
      <w:r>
        <w:t xml:space="preserve">It is impossible to identify and replace lost or stolen hardware without first having some method of identifying the loss. Just the presence of a hardware inventory system may be a considerable </w:t>
      </w:r>
    </w:p>
    <w:p>
      <w:pPr>
        <w:pStyle w:val="Normal"/>
      </w:pPr>
      <w:r>
        <w:t xml:space="preserve">deterrent in preventing theft by employees. </w:t>
      </w:r>
    </w:p>
    <w:p>
      <w:pPr>
        <w:pStyle w:val="Para 25"/>
      </w:pPr>
      <w:r>
        <w:t/>
      </w:r>
    </w:p>
    <w:p>
      <w:pPr>
        <w:pStyle w:val="Para 19"/>
      </w:pPr>
      <w:r>
        <w:t xml:space="preserve">Serial Number Tracking </w:t>
      </w:r>
    </w:p>
    <w:p>
      <w:pPr>
        <w:pStyle w:val="Para 03"/>
      </w:pPr>
      <w:r>
        <w:t xml:space="preserve">An automated hardware inventory system may have the ability to contain information that would be </w:t>
        <w:t xml:space="preserve">difficult or impossible to report on manually. Device serial numbers provide you with the added knowledge </w:t>
        <w:t xml:space="preserve">of not just which systems have which devices, but exactly which devices. For example, if your inventory </w:t>
        <w:t xml:space="preserve">reports include RAM serial numbers, you can identify its movement if someone were to take it from one </w:t>
        <w:t xml:space="preserve">machine and install it in another. </w:t>
      </w:r>
    </w:p>
    <w:p>
      <w:pPr>
        <w:pStyle w:val="Para 25"/>
      </w:pPr>
      <w:r>
        <w:t/>
      </w:r>
    </w:p>
    <w:p>
      <w:pPr>
        <w:pStyle w:val="Para 07"/>
      </w:pPr>
      <w:r>
        <w:t xml:space="preserve">Hardware Inventory Methods </w:t>
      </w:r>
    </w:p>
    <w:p>
      <w:pPr>
        <w:pStyle w:val="Normal"/>
      </w:pPr>
      <w:r>
        <w:t xml:space="preserve">There are many ways to obtain hardware inventory data from a system. In particular, we will </w:t>
      </w:r>
    </w:p>
    <w:p>
      <w:pPr>
        <w:pStyle w:val="Normal"/>
      </w:pPr>
      <w:r>
        <w:t xml:space="preserve">discuss the capabilities of WMI and the built-in WinMSD utility to report this information. </w:t>
      </w:r>
    </w:p>
    <w:p>
      <w:pPr>
        <w:pStyle w:val="Para 25"/>
      </w:pPr>
      <w:r>
        <w:t/>
      </w:r>
    </w:p>
    <w:p>
      <w:pPr>
        <w:pStyle w:val="Normal"/>
      </w:pPr>
      <w:r>
        <w:t xml:space="preserve">In Chapter 7, we discussed the ability of WMI to provide comprehensive system data. Among </w:t>
      </w:r>
    </w:p>
    <w:p>
      <w:pPr>
        <w:pStyle w:val="Normal"/>
      </w:pPr>
      <w:r>
        <w:t xml:space="preserve">this retrievable information is a wealth of inventory data; the challenge lies in identifying and pulling meaningful information and displaying it in a user-friendly fashion. Most inventory tools </w:t>
      </w:r>
    </w:p>
    <w:p>
      <w:pPr>
        <w:pStyle w:val="Normal"/>
      </w:pPr>
      <w:r>
        <w:t xml:space="preserve">for Windows do just that—collect and provide a clear view of data pulled from WMI. Some key </w:t>
      </w:r>
    </w:p>
    <w:p>
      <w:pPr>
        <w:pStyle w:val="Normal"/>
      </w:pPr>
      <w:r>
        <w:t xml:space="preserve">collections you may reference in obtaining WMI data include: </w:t>
      </w:r>
    </w:p>
    <w:p>
      <w:pPr>
        <w:pStyle w:val="Para 25"/>
      </w:pPr>
      <w:r>
        <w:t/>
      </w:r>
    </w:p>
    <w:p>
      <w:pPr>
        <w:pStyle w:val="Para 04"/>
      </w:pPr>
      <w:r>
        <w:t xml:space="preserve">• Win32_SCSIController—SCSI disk controller information </w:t>
      </w:r>
    </w:p>
    <w:p>
      <w:pPr>
        <w:pStyle w:val="Para 25"/>
      </w:pPr>
      <w:r>
        <w:t/>
      </w:r>
    </w:p>
    <w:p>
      <w:pPr>
        <w:pStyle w:val="Para 04"/>
      </w:pPr>
      <w:r>
        <w:t xml:space="preserve">• Win32_IDEController—IDE disk controller information </w:t>
      </w:r>
    </w:p>
    <w:p>
      <w:pPr>
        <w:pStyle w:val="Para 25"/>
      </w:pPr>
      <w:r>
        <w:t/>
      </w:r>
    </w:p>
    <w:p>
      <w:pPr>
        <w:pStyle w:val="Para 04"/>
      </w:pPr>
      <w:r>
        <w:t xml:space="preserve">• Win32_PhysicalMedia—Physical media information </w:t>
      </w:r>
    </w:p>
    <w:p>
      <w:pPr>
        <w:pStyle w:val="Para 25"/>
      </w:pPr>
      <w:r>
        <w:t/>
      </w:r>
    </w:p>
    <w:p>
      <w:pPr>
        <w:pStyle w:val="Para 04"/>
      </w:pPr>
      <w:r>
        <w:t xml:space="preserve">• Win32_LogicalDisk—Logical disk information </w:t>
      </w:r>
    </w:p>
    <w:p>
      <w:pPr>
        <w:pStyle w:val="Para 25"/>
      </w:pPr>
      <w:r>
        <w:t/>
      </w:r>
    </w:p>
    <w:p>
      <w:pPr>
        <w:pStyle w:val="Para 04"/>
      </w:pPr>
      <w:r>
        <w:t xml:space="preserve">• Win32_DiskDrive—Disk drive information </w:t>
      </w:r>
    </w:p>
    <w:p>
      <w:pPr>
        <w:pStyle w:val="Para 25"/>
      </w:pPr>
      <w:r>
        <w:t/>
      </w:r>
    </w:p>
    <w:p>
      <w:pPr>
        <w:pStyle w:val="Para 04"/>
      </w:pPr>
      <w:r>
        <w:t xml:space="preserve">• Win32_Processor—Processor information </w:t>
      </w:r>
    </w:p>
    <w:p>
      <w:pPr>
        <w:pStyle w:val="Para 25"/>
      </w:pPr>
      <w:r>
        <w:t/>
      </w:r>
    </w:p>
    <w:p>
      <w:pPr>
        <w:pStyle w:val="Para 04"/>
      </w:pPr>
      <w:r>
        <w:t xml:space="preserve">• Win32_NetworkAdapter—NIC information </w:t>
      </w:r>
    </w:p>
    <w:p>
      <w:pPr>
        <w:pStyle w:val="Para 25"/>
      </w:pPr>
      <w:r>
        <w:t/>
      </w:r>
    </w:p>
    <w:p>
      <w:pPr>
        <w:pStyle w:val="Para 04"/>
      </w:pPr>
      <w:r>
        <w:t xml:space="preserve">• Win32_DesktopMonitor—Monitor information </w:t>
      </w:r>
    </w:p>
    <w:p>
      <w:pPr>
        <w:pStyle w:val="Para 25"/>
      </w:pPr>
      <w:r>
        <w:t/>
      </w:r>
    </w:p>
    <w:p>
      <w:pPr>
        <w:pStyle w:val="Para 04"/>
      </w:pPr>
      <w:r>
        <w:t xml:space="preserve">• Win32_VideoController—Video adapter information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67" name="index-203_1.png" descr="index-203_1.png"/>
            <wp:cNvGraphicFramePr>
              <a:graphicFrameLocks noChangeAspect="1"/>
            </wp:cNvGraphicFramePr>
            <a:graphic>
              <a:graphicData uri="http://schemas.openxmlformats.org/drawingml/2006/picture">
                <pic:pic>
                  <pic:nvPicPr>
                    <pic:cNvPr id="0" name="index-203_1.png" descr="index-203_1.png"/>
                    <pic:cNvPicPr/>
                  </pic:nvPicPr>
                  <pic:blipFill>
                    <a:blip r:embed="rId47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68" name="index-203_2.png" descr="index-203_2.png"/>
            <wp:cNvGraphicFramePr>
              <a:graphicFrameLocks noChangeAspect="1"/>
            </wp:cNvGraphicFramePr>
            <a:graphic>
              <a:graphicData uri="http://schemas.openxmlformats.org/drawingml/2006/picture">
                <pic:pic>
                  <pic:nvPicPr>
                    <pic:cNvPr id="0" name="index-203_2.png" descr="index-203_2.png"/>
                    <pic:cNvPicPr/>
                  </pic:nvPicPr>
                  <pic:blipFill>
                    <a:blip r:embed="rId472"/>
                    <a:stretch>
                      <a:fillRect/>
                    </a:stretch>
                  </pic:blipFill>
                  <pic:spPr>
                    <a:xfrm>
                      <a:off x="0" y="0"/>
                      <a:ext cx="914400" cy="444500"/>
                    </a:xfrm>
                    <a:prstGeom prst="rect">
                      <a:avLst/>
                    </a:prstGeom>
                  </pic:spPr>
                </pic:pic>
              </a:graphicData>
            </a:graphic>
          </wp:anchor>
        </w:drawing>
      </w:r>
    </w:p>
    <w:p>
      <w:pPr>
        <w:pStyle w:val="0 Block"/>
      </w:pPr>
    </w:p>
    <w:p>
      <w:bookmarkStart w:id="213" w:name="Chapter_8_4"/>
      <w:pPr>
        <w:pStyle w:val="Heading 1"/>
        <w:pageBreakBefore w:val="on"/>
      </w:pPr>
      <w:r>
        <w:t>Chapter 8</w:t>
      </w:r>
      <w:bookmarkEnd w:id="213"/>
    </w:p>
    <w:p>
      <w:pPr>
        <w:pStyle w:val="Para 25"/>
      </w:pPr>
      <w:r>
        <w:t/>
      </w:r>
    </w:p>
    <w:p>
      <w:pPr>
        <w:pStyle w:val="Para 04"/>
      </w:pPr>
      <w:r>
        <w:t xml:space="preserve">• Win32_BaseBoard—Motherboard information </w:t>
      </w:r>
    </w:p>
    <w:p>
      <w:pPr>
        <w:pStyle w:val="Para 25"/>
      </w:pPr>
      <w:r>
        <w:t/>
      </w:r>
    </w:p>
    <w:p>
      <w:pPr>
        <w:pStyle w:val="Para 04"/>
      </w:pPr>
      <w:r>
        <w:t xml:space="preserve">• Win32_BIOS—BIOS information </w:t>
      </w:r>
    </w:p>
    <w:p>
      <w:pPr>
        <w:pStyle w:val="Para 25"/>
      </w:pPr>
      <w:r>
        <w:t/>
      </w:r>
    </w:p>
    <w:p>
      <w:pPr>
        <w:pStyle w:val="Para 02"/>
      </w:pPr>
      <w:r>
        <w:t xml:space="preserve">Although many inventory tools today take advantage of WMI to report hardware inventory data, other </w:t>
      </w:r>
    </w:p>
    <w:p>
      <w:pPr>
        <w:pStyle w:val="Para 02"/>
      </w:pPr>
      <w:r>
        <w:t xml:space="preserve">tools exercise their own proprietary methods to report such information. Later in this chapter, I’ll </w:t>
      </w:r>
    </w:p>
    <w:p>
      <w:pPr>
        <w:pStyle w:val="Para 02"/>
      </w:pPr>
      <w:r>
        <w:t xml:space="preserve">provide a list of several vendors with tools that provide hardware inventory as a feature. </w:t>
      </w:r>
    </w:p>
    <w:p>
      <w:pPr>
        <w:pStyle w:val="Para 25"/>
      </w:pPr>
      <w:r>
        <w:t/>
      </w:r>
    </w:p>
    <w:p>
      <w:pPr>
        <w:pStyle w:val="Normal"/>
      </w:pPr>
      <w:r>
        <w:t xml:space="preserve">Listing 8.1 shows an example KiXtart script that will display the details of each installed </w:t>
      </w:r>
    </w:p>
    <w:p>
      <w:pPr>
        <w:pStyle w:val="Normal"/>
      </w:pPr>
      <w:r>
        <w:t xml:space="preserve">network interface card (NIC). For an example of the output this script would generate, see Figure </w:t>
      </w:r>
    </w:p>
    <w:p>
      <w:pPr>
        <w:pStyle w:val="Normal"/>
      </w:pPr>
      <w:r>
        <w:t xml:space="preserve">8.1. </w:t>
      </w:r>
    </w:p>
    <w:p>
      <w:pPr>
        <w:pStyle w:val="Para 25"/>
      </w:pPr>
      <w:r>
        <w:t/>
      </w:r>
    </w:p>
    <w:p>
      <w:pPr>
        <w:pStyle w:val="Para 03"/>
      </w:pPr>
      <w:r>
        <w:t xml:space="preserve">Break On </w:t>
      </w:r>
    </w:p>
    <w:p>
      <w:pPr>
        <w:pStyle w:val="Para 03"/>
      </w:pPr>
      <w:r>
        <w:t xml:space="preserve">$Computer = "." </w:t>
      </w:r>
    </w:p>
    <w:p>
      <w:pPr>
        <w:pStyle w:val="Para 03"/>
      </w:pPr>
      <w:r>
        <w:t xml:space="preserve">$WMI = GetObject("winmgmts:\\" + $Computer + "\root\cimv2") </w:t>
        <w:t xml:space="preserve">$collection = $WMI.ExecQuery("Select * from Win32_NetworkAdapter",,48) </w:t>
        <w:t xml:space="preserve">For Each $item In $collection </w:t>
      </w:r>
    </w:p>
    <w:p>
      <w:pPr>
        <w:pStyle w:val="Para 03"/>
      </w:pPr>
      <w:r>
        <w:t xml:space="preserve"> ? "Adapter Type: " + $item.AdapterType </w:t>
      </w:r>
    </w:p>
    <w:p>
      <w:pPr>
        <w:pStyle w:val="Para 03"/>
      </w:pPr>
      <w:r>
        <w:t xml:space="preserve"> ? "Auto Sense: " + $item.AutoSense </w:t>
      </w:r>
    </w:p>
    <w:p>
      <w:pPr>
        <w:pStyle w:val="Para 03"/>
      </w:pPr>
      <w:r>
        <w:t xml:space="preserve"> ? "Availability: " + $item.Availability </w:t>
      </w:r>
    </w:p>
    <w:p>
      <w:pPr>
        <w:pStyle w:val="Para 03"/>
      </w:pPr>
      <w:r>
        <w:t xml:space="preserve"> ? "Caption: " + $item.Caption </w:t>
      </w:r>
    </w:p>
    <w:p>
      <w:pPr>
        <w:pStyle w:val="Para 03"/>
      </w:pPr>
      <w:r>
        <w:t xml:space="preserve"> ? "Config Manager Error Code: " + $item.ConfigManagerErrorCode </w:t>
        <w:t xml:space="preserve"> ? "Config Manager User Config: " + $item.ConfigManagerUserConfig </w:t>
        <w:t xml:space="preserve"> ? "Creation Class Name: " + $item.CreationClassName </w:t>
        <w:t xml:space="preserve"> ? "Description: " + $item.Description </w:t>
      </w:r>
    </w:p>
    <w:p>
      <w:pPr>
        <w:pStyle w:val="Para 03"/>
      </w:pPr>
      <w:r>
        <w:t xml:space="preserve"> ? "Device ID: " + $item.DeviceID </w:t>
      </w:r>
    </w:p>
    <w:p>
      <w:pPr>
        <w:pStyle w:val="Para 03"/>
      </w:pPr>
      <w:r>
        <w:t xml:space="preserve"> ? "Error Cleared: " + $item.ErrorCleared </w:t>
      </w:r>
    </w:p>
    <w:p>
      <w:pPr>
        <w:pStyle w:val="Para 03"/>
      </w:pPr>
      <w:r>
        <w:t xml:space="preserve"> ? "Error Description: " + $item.ErrorDescription </w:t>
        <w:t xml:space="preserve"> ? "Index: " + $item.Index </w:t>
      </w:r>
    </w:p>
    <w:p>
      <w:pPr>
        <w:pStyle w:val="Para 03"/>
      </w:pPr>
      <w:r>
        <w:t xml:space="preserve"> ? "Install Date: " + $item.InstallDate </w:t>
      </w:r>
    </w:p>
    <w:p>
      <w:pPr>
        <w:pStyle w:val="Para 03"/>
      </w:pPr>
      <w:r>
        <w:t xml:space="preserve"> ? "Installed: " + $item.Installed </w:t>
      </w:r>
    </w:p>
    <w:p>
      <w:pPr>
        <w:pStyle w:val="Para 03"/>
      </w:pPr>
      <w:r>
        <w:t xml:space="preserve"> ? "Last Error Code: " + $item.LastErrorCode </w:t>
      </w:r>
    </w:p>
    <w:p>
      <w:pPr>
        <w:pStyle w:val="Para 03"/>
      </w:pPr>
      <w:r>
        <w:t xml:space="preserve"> ? "MAC Address: " + $item.MACAddress </w:t>
      </w:r>
    </w:p>
    <w:p>
      <w:pPr>
        <w:pStyle w:val="Para 03"/>
      </w:pPr>
      <w:r>
        <w:t xml:space="preserve"> ? "Manufacturer: " + $item.Manufacturer </w:t>
      </w:r>
    </w:p>
    <w:p>
      <w:pPr>
        <w:pStyle w:val="Para 03"/>
      </w:pPr>
      <w:r>
        <w:t xml:space="preserve"> ? "Max Number Controlled: " + $item.MaxNumberControlled </w:t>
        <w:t xml:space="preserve"> ? "Max Speed: " + $item.MaxSpeed </w:t>
      </w:r>
    </w:p>
    <w:p>
      <w:pPr>
        <w:pStyle w:val="Para 03"/>
      </w:pPr>
      <w:r>
        <w:t xml:space="preserve"> ? "Name: " + $item.Name </w:t>
      </w:r>
    </w:p>
    <w:p>
      <w:pPr>
        <w:pStyle w:val="Para 03"/>
      </w:pPr>
      <w:r>
        <w:t xml:space="preserve"> ? "Network Addresses: " + $item.NetworkAddresses </w:t>
        <w:t xml:space="preserve"> ? "Permanent Address: " + $item.PermanentAddress </w:t>
        <w:t xml:space="preserve"> ? "PNP Device ID: " + $item.PNPDeviceID </w:t>
      </w:r>
    </w:p>
    <w:p>
      <w:pPr>
        <w:pStyle w:val="Para 03"/>
      </w:pPr>
      <w:r>
        <w:t xml:space="preserve"> ? "Power Management: " + $item.PowerManagementCapabilities </w:t>
        <w:t xml:space="preserve"> ? "Power Management: " + $item.PowerManagementSupported </w:t>
        <w:t xml:space="preserve"> ? "Product Name: " + $item.ProductName </w:t>
      </w:r>
    </w:p>
    <w:p>
      <w:pPr>
        <w:pStyle w:val="Para 03"/>
      </w:pPr>
      <w:r>
        <w:t xml:space="preserve"> ? "Service Name: " + $item.ServiceName </w:t>
      </w:r>
    </w:p>
    <w:p>
      <w:pPr>
        <w:pStyle w:val="Para 03"/>
      </w:pPr>
      <w:r>
        <w:t xml:space="preserve"> ? "Speed: " + $item.Speed </w:t>
      </w:r>
    </w:p>
    <w:p>
      <w:pPr>
        <w:pStyle w:val="Para 03"/>
      </w:pPr>
      <w:r>
        <w:t xml:space="preserve"> ? "Status: " + $item.Status </w:t>
      </w:r>
    </w:p>
    <w:p>
      <w:pPr>
        <w:pStyle w:val="Para 03"/>
      </w:pPr>
      <w:r>
        <w:t xml:space="preserve"> ? "Status Info: " + $item.StatusInfo </w:t>
      </w:r>
    </w:p>
    <w:p>
      <w:pPr>
        <w:pStyle w:val="Para 03"/>
      </w:pPr>
      <w:r>
        <w:t xml:space="preserve"> ? "System Creation ClassName: " + $item.SystemCreationClassName </w:t>
        <w:t xml:space="preserve"> ? "System Name: " + $item.SystemName </w:t>
      </w:r>
    </w:p>
    <w:p>
      <w:pPr>
        <w:pStyle w:val="Para 03"/>
      </w:pPr>
      <w:r>
        <w:t xml:space="preserve"> ? "Time Of Last Reset: " + $item.TimeOfLastReset </w:t>
        <w:t xml:space="preserve"> ? </w:t>
      </w:r>
    </w:p>
    <w:p>
      <w:pPr>
        <w:pStyle w:val="Para 03"/>
      </w:pPr>
      <w:r>
        <w:t xml:space="preserve">Next </w:t>
      </w:r>
    </w:p>
    <w:p>
      <w:pPr>
        <w:pStyle w:val="Para 25"/>
      </w:pPr>
      <w:r>
        <w:t/>
      </w:r>
    </w:p>
    <w:p>
      <w:pPr>
        <w:pStyle w:val="Para 10"/>
      </w:pPr>
      <w:r>
        <w:t xml:space="preserve">Listing 8.1: Example KiXtart script to display the details of each installed NIC.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69" name="index-204_1.png" descr="index-204_1.png"/>
            <wp:cNvGraphicFramePr>
              <a:graphicFrameLocks noChangeAspect="1"/>
            </wp:cNvGraphicFramePr>
            <a:graphic>
              <a:graphicData uri="http://schemas.openxmlformats.org/drawingml/2006/picture">
                <pic:pic>
                  <pic:nvPicPr>
                    <pic:cNvPr id="0" name="index-204_1.png" descr="index-204_1.png"/>
                    <pic:cNvPicPr/>
                  </pic:nvPicPr>
                  <pic:blipFill>
                    <a:blip r:embed="rId47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70" name="index-204_2.png" descr="index-204_2.png"/>
            <wp:cNvGraphicFramePr>
              <a:graphicFrameLocks noChangeAspect="1"/>
            </wp:cNvGraphicFramePr>
            <a:graphic>
              <a:graphicData uri="http://schemas.openxmlformats.org/drawingml/2006/picture">
                <pic:pic>
                  <pic:nvPicPr>
                    <pic:cNvPr id="0" name="index-204_2.png" descr="index-204_2.png"/>
                    <pic:cNvPicPr/>
                  </pic:nvPicPr>
                  <pic:blipFill>
                    <a:blip r:embed="rId474"/>
                    <a:stretch>
                      <a:fillRect/>
                    </a:stretch>
                  </pic:blipFill>
                  <pic:spPr>
                    <a:xfrm>
                      <a:off x="0" y="0"/>
                      <a:ext cx="914400" cy="444500"/>
                    </a:xfrm>
                    <a:prstGeom prst="rect">
                      <a:avLst/>
                    </a:prstGeom>
                  </pic:spPr>
                </pic:pic>
              </a:graphicData>
            </a:graphic>
          </wp:anchor>
        </w:drawing>
      </w:r>
    </w:p>
    <w:p>
      <w:pPr>
        <w:pStyle w:val="0 Block"/>
      </w:pPr>
    </w:p>
    <w:p>
      <w:bookmarkStart w:id="214" w:name="Chapter_8_5"/>
      <w:pPr>
        <w:pStyle w:val="Heading 1"/>
        <w:pageBreakBefore w:val="on"/>
      </w:pPr>
      <w:r>
        <w:t>Chapter 8</w:t>
      </w:r>
      <w:bookmarkEnd w:id="21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0" cy="2324100"/>
            <wp:effectExtent l="0" r="0" t="0" b="0"/>
            <wp:wrapTopAndBottom/>
            <wp:docPr id="471" name="index-205_1.png" descr="index-205_1.png"/>
            <wp:cNvGraphicFramePr>
              <a:graphicFrameLocks noChangeAspect="1"/>
            </wp:cNvGraphicFramePr>
            <a:graphic>
              <a:graphicData uri="http://schemas.openxmlformats.org/drawingml/2006/picture">
                <pic:pic>
                  <pic:nvPicPr>
                    <pic:cNvPr id="0" name="index-205_1.png" descr="index-205_1.png"/>
                    <pic:cNvPicPr/>
                  </pic:nvPicPr>
                  <pic:blipFill>
                    <a:blip r:embed="rId475"/>
                    <a:stretch>
                      <a:fillRect/>
                    </a:stretch>
                  </pic:blipFill>
                  <pic:spPr>
                    <a:xfrm>
                      <a:off x="0" y="0"/>
                      <a:ext cx="3429000" cy="23241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8.1: Example of network information script output using WMI. </w:t>
      </w:r>
    </w:p>
    <w:p>
      <w:pPr>
        <w:pStyle w:val="Para 25"/>
      </w:pPr>
      <w:r>
        <w:t/>
      </w:r>
    </w:p>
    <w:p>
      <w:pPr>
        <w:pStyle w:val="Normal"/>
      </w:pPr>
      <w:r>
        <w:t xml:space="preserve">Another way to gather system details in an automated manner is to utilize the WinMSD tool. </w:t>
      </w:r>
    </w:p>
    <w:p>
      <w:pPr>
        <w:pStyle w:val="Normal"/>
      </w:pPr>
      <w:r>
        <w:t xml:space="preserve">WinMSD has been updated through the past few versions of Windows. For NT, WinMSD can specify the UNC path to a system and utilize any of the following command-line switches: </w:t>
      </w:r>
    </w:p>
    <w:p>
      <w:pPr>
        <w:pStyle w:val="Para 25"/>
      </w:pPr>
      <w:r>
        <w:t/>
      </w:r>
    </w:p>
    <w:p>
      <w:pPr>
        <w:pStyle w:val="Para 04"/>
      </w:pPr>
      <w:r>
        <w:t xml:space="preserve">• /a—All details </w:t>
      </w:r>
    </w:p>
    <w:p>
      <w:pPr>
        <w:pStyle w:val="Para 25"/>
      </w:pPr>
      <w:r>
        <w:t/>
      </w:r>
    </w:p>
    <w:p>
      <w:pPr>
        <w:pStyle w:val="Para 04"/>
      </w:pPr>
      <w:r>
        <w:t xml:space="preserve">• /s—Summary details only </w:t>
      </w:r>
    </w:p>
    <w:p>
      <w:pPr>
        <w:pStyle w:val="Para 25"/>
      </w:pPr>
      <w:r>
        <w:t/>
      </w:r>
    </w:p>
    <w:p>
      <w:pPr>
        <w:pStyle w:val="Para 04"/>
      </w:pPr>
      <w:r>
        <w:t xml:space="preserve">• /f—Send output to a file </w:t>
        <w:t xml:space="preserve"> in the current directory </w:t>
      </w:r>
    </w:p>
    <w:p>
      <w:pPr>
        <w:pStyle w:val="Para 25"/>
      </w:pPr>
      <w:r>
        <w:t/>
      </w:r>
    </w:p>
    <w:p>
      <w:pPr>
        <w:pStyle w:val="Para 04"/>
      </w:pPr>
      <w:r>
        <w:t xml:space="preserve">• /p—Send output to a printer </w:t>
      </w:r>
    </w:p>
    <w:p>
      <w:pPr>
        <w:pStyle w:val="Para 25"/>
      </w:pPr>
      <w:r>
        <w:t/>
      </w:r>
    </w:p>
    <w:p>
      <w:pPr>
        <w:pStyle w:val="Normal"/>
      </w:pPr>
      <w:r>
        <w:t xml:space="preserve">Run alone, NT’s WinMSD will launch in GUI mode, as Figure 8.2 shows.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72" name="index-205_2.png" descr="index-205_2.png"/>
            <wp:cNvGraphicFramePr>
              <a:graphicFrameLocks noChangeAspect="1"/>
            </wp:cNvGraphicFramePr>
            <a:graphic>
              <a:graphicData uri="http://schemas.openxmlformats.org/drawingml/2006/picture">
                <pic:pic>
                  <pic:nvPicPr>
                    <pic:cNvPr id="0" name="index-205_2.png" descr="index-205_2.png"/>
                    <pic:cNvPicPr/>
                  </pic:nvPicPr>
                  <pic:blipFill>
                    <a:blip r:embed="rId47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73" name="index-205_3.png" descr="index-205_3.png"/>
            <wp:cNvGraphicFramePr>
              <a:graphicFrameLocks noChangeAspect="1"/>
            </wp:cNvGraphicFramePr>
            <a:graphic>
              <a:graphicData uri="http://schemas.openxmlformats.org/drawingml/2006/picture">
                <pic:pic>
                  <pic:nvPicPr>
                    <pic:cNvPr id="0" name="index-205_3.png" descr="index-205_3.png"/>
                    <pic:cNvPicPr/>
                  </pic:nvPicPr>
                  <pic:blipFill>
                    <a:blip r:embed="rId477"/>
                    <a:stretch>
                      <a:fillRect/>
                    </a:stretch>
                  </pic:blipFill>
                  <pic:spPr>
                    <a:xfrm>
                      <a:off x="0" y="0"/>
                      <a:ext cx="914400" cy="444500"/>
                    </a:xfrm>
                    <a:prstGeom prst="rect">
                      <a:avLst/>
                    </a:prstGeom>
                  </pic:spPr>
                </pic:pic>
              </a:graphicData>
            </a:graphic>
          </wp:anchor>
        </w:drawing>
      </w:r>
    </w:p>
    <w:p>
      <w:pPr>
        <w:pStyle w:val="0 Block"/>
      </w:pPr>
    </w:p>
    <w:p>
      <w:bookmarkStart w:id="215" w:name="Chapter_8_6"/>
      <w:pPr>
        <w:pStyle w:val="Heading 1"/>
        <w:pageBreakBefore w:val="on"/>
      </w:pPr>
      <w:r>
        <w:t>Chapter 8</w:t>
      </w:r>
      <w:bookmarkEnd w:id="21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2743200"/>
            <wp:effectExtent l="0" r="0" t="0" b="0"/>
            <wp:wrapTopAndBottom/>
            <wp:docPr id="474" name="index-206_1.png" descr="index-206_1.png"/>
            <wp:cNvGraphicFramePr>
              <a:graphicFrameLocks noChangeAspect="1"/>
            </wp:cNvGraphicFramePr>
            <a:graphic>
              <a:graphicData uri="http://schemas.openxmlformats.org/drawingml/2006/picture">
                <pic:pic>
                  <pic:nvPicPr>
                    <pic:cNvPr id="0" name="index-206_1.png" descr="index-206_1.png"/>
                    <pic:cNvPicPr/>
                  </pic:nvPicPr>
                  <pic:blipFill>
                    <a:blip r:embed="rId478"/>
                    <a:stretch>
                      <a:fillRect/>
                    </a:stretch>
                  </pic:blipFill>
                  <pic:spPr>
                    <a:xfrm>
                      <a:off x="0" y="0"/>
                      <a:ext cx="2641600" cy="27432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8.2: WinMSD for NT in GUI mode. </w:t>
      </w:r>
    </w:p>
    <w:p>
      <w:pPr>
        <w:pStyle w:val="Para 25"/>
      </w:pPr>
      <w:r>
        <w:t/>
      </w:r>
    </w:p>
    <w:p>
      <w:pPr>
        <w:pStyle w:val="Normal"/>
      </w:pPr>
      <w:r>
        <w:t xml:space="preserve">The Win2K incarnation of WinMSD (msinfo32) also provides a great deal of detail about the specified system. You can use the following command-line parameters to specify specific </w:t>
      </w:r>
    </w:p>
    <w:p>
      <w:pPr>
        <w:pStyle w:val="Normal"/>
      </w:pPr>
      <w:r>
        <w:t xml:space="preserve">sections to output: </w:t>
      </w:r>
    </w:p>
    <w:p>
      <w:pPr>
        <w:pStyle w:val="Para 25"/>
      </w:pPr>
      <w:r>
        <w:t/>
      </w:r>
    </w:p>
    <w:p>
      <w:pPr>
        <w:pStyle w:val="Para 04"/>
      </w:pPr>
      <w:r>
        <w:t xml:space="preserve">• /msinfo_file is used to open a specific NFO or CAB file </w:t>
      </w:r>
    </w:p>
    <w:p>
      <w:pPr>
        <w:pStyle w:val="Para 25"/>
      </w:pPr>
      <w:r>
        <w:t/>
      </w:r>
    </w:p>
    <w:p>
      <w:pPr>
        <w:pStyle w:val="Para 04"/>
      </w:pPr>
      <w:r>
        <w:t xml:space="preserve">• /nfo or /s will send output to a specific NFO files </w:t>
      </w:r>
    </w:p>
    <w:p>
      <w:pPr>
        <w:pStyle w:val="Para 25"/>
      </w:pPr>
      <w:r>
        <w:t/>
      </w:r>
    </w:p>
    <w:p>
      <w:pPr>
        <w:pStyle w:val="Para 04"/>
      </w:pPr>
      <w:r>
        <w:t xml:space="preserve">• /report directs text-formatted output to a specific file </w:t>
      </w:r>
    </w:p>
    <w:p>
      <w:pPr>
        <w:pStyle w:val="Para 25"/>
      </w:pPr>
      <w:r>
        <w:t/>
      </w:r>
    </w:p>
    <w:p>
      <w:pPr>
        <w:pStyle w:val="Para 04"/>
      </w:pPr>
      <w:r>
        <w:t xml:space="preserve">• /computer connects and displays information regarding a specific remote system </w:t>
      </w:r>
    </w:p>
    <w:p>
      <w:pPr>
        <w:pStyle w:val="Para 25"/>
      </w:pPr>
      <w:r>
        <w:t/>
      </w:r>
    </w:p>
    <w:p>
      <w:pPr>
        <w:pStyle w:val="Para 04"/>
      </w:pPr>
      <w:r>
        <w:t xml:space="preserve">• /categories displays the specified categories (used to limit output) </w:t>
      </w:r>
    </w:p>
    <w:p>
      <w:pPr>
        <w:pStyle w:val="Para 25"/>
      </w:pPr>
      <w:r>
        <w:t/>
      </w:r>
    </w:p>
    <w:p>
      <w:pPr>
        <w:pStyle w:val="Para 04"/>
      </w:pPr>
      <w:r>
        <w:t xml:space="preserve">• /category sets the focus of the GUI display to the specified category at startup </w:t>
      </w:r>
    </w:p>
    <w:p>
      <w:pPr>
        <w:pStyle w:val="Para 25"/>
      </w:pPr>
      <w:r>
        <w:t/>
      </w:r>
    </w:p>
    <w:p>
      <w:pPr>
        <w:pStyle w:val="Para 02"/>
      </w:pPr>
      <w:r>
        <w:t xml:space="preserve">An NFO file is System Information File, which is a binary file that may be displayed using the System </w:t>
      </w:r>
    </w:p>
    <w:p>
      <w:pPr>
        <w:pStyle w:val="Para 02"/>
      </w:pPr>
      <w:r>
        <w:t xml:space="preserve">Information tool (msinfo32.exe) as a viewer.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75" name="index-206_2.png" descr="index-206_2.png"/>
            <wp:cNvGraphicFramePr>
              <a:graphicFrameLocks noChangeAspect="1"/>
            </wp:cNvGraphicFramePr>
            <a:graphic>
              <a:graphicData uri="http://schemas.openxmlformats.org/drawingml/2006/picture">
                <pic:pic>
                  <pic:nvPicPr>
                    <pic:cNvPr id="0" name="index-206_2.png" descr="index-206_2.png"/>
                    <pic:cNvPicPr/>
                  </pic:nvPicPr>
                  <pic:blipFill>
                    <a:blip r:embed="rId47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76" name="index-206_3.png" descr="index-206_3.png"/>
            <wp:cNvGraphicFramePr>
              <a:graphicFrameLocks noChangeAspect="1"/>
            </wp:cNvGraphicFramePr>
            <a:graphic>
              <a:graphicData uri="http://schemas.openxmlformats.org/drawingml/2006/picture">
                <pic:pic>
                  <pic:nvPicPr>
                    <pic:cNvPr id="0" name="index-206_3.png" descr="index-206_3.png"/>
                    <pic:cNvPicPr/>
                  </pic:nvPicPr>
                  <pic:blipFill>
                    <a:blip r:embed="rId480"/>
                    <a:stretch>
                      <a:fillRect/>
                    </a:stretch>
                  </pic:blipFill>
                  <pic:spPr>
                    <a:xfrm>
                      <a:off x="0" y="0"/>
                      <a:ext cx="914400" cy="444500"/>
                    </a:xfrm>
                    <a:prstGeom prst="rect">
                      <a:avLst/>
                    </a:prstGeom>
                  </pic:spPr>
                </pic:pic>
              </a:graphicData>
            </a:graphic>
          </wp:anchor>
        </w:drawing>
      </w:r>
    </w:p>
    <w:p>
      <w:pPr>
        <w:pStyle w:val="0 Block"/>
      </w:pPr>
    </w:p>
    <w:p>
      <w:bookmarkStart w:id="216" w:name="Chapter_8_7"/>
      <w:pPr>
        <w:pStyle w:val="Heading 1"/>
        <w:pageBreakBefore w:val="on"/>
      </w:pPr>
      <w:r>
        <w:t>Chapter 8</w:t>
      </w:r>
      <w:bookmarkEnd w:id="216"/>
    </w:p>
    <w:p>
      <w:pPr>
        <w:pStyle w:val="Para 25"/>
      </w:pPr>
      <w:r>
        <w:t/>
      </w:r>
    </w:p>
    <w:p>
      <w:pPr>
        <w:pStyle w:val="Normal"/>
      </w:pPr>
      <w:r>
        <w:t xml:space="preserve">You can use the following command to return all available information, which generates a </w:t>
      </w:r>
    </w:p>
    <w:p>
      <w:pPr>
        <w:pStyle w:val="Normal"/>
      </w:pPr>
      <w:r>
        <w:t xml:space="preserve">detailed report in a text file named inventory.txt: </w:t>
      </w:r>
    </w:p>
    <w:p>
      <w:pPr>
        <w:pStyle w:val="Para 25"/>
      </w:pPr>
      <w:r>
        <w:t/>
      </w:r>
    </w:p>
    <w:p>
      <w:pPr>
        <w:pStyle w:val="Para 11"/>
      </w:pPr>
      <w:r>
        <w:t xml:space="preserve">WinMSD.exe /report c:\inventory.txt </w:t>
      </w:r>
    </w:p>
    <w:p>
      <w:pPr>
        <w:pStyle w:val="Para 25"/>
      </w:pPr>
      <w:r>
        <w:t/>
      </w:r>
    </w:p>
    <w:p>
      <w:pPr>
        <w:pStyle w:val="Normal"/>
      </w:pPr>
      <w:r>
        <w:t xml:space="preserve">Figure 8.3 shows the Windows XP WinMSD tool interface.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57600" cy="2438400"/>
            <wp:effectExtent l="0" r="0" t="0" b="0"/>
            <wp:wrapTopAndBottom/>
            <wp:docPr id="477" name="index-207_1.png" descr="index-207_1.png"/>
            <wp:cNvGraphicFramePr>
              <a:graphicFrameLocks noChangeAspect="1"/>
            </wp:cNvGraphicFramePr>
            <a:graphic>
              <a:graphicData uri="http://schemas.openxmlformats.org/drawingml/2006/picture">
                <pic:pic>
                  <pic:nvPicPr>
                    <pic:cNvPr id="0" name="index-207_1.png" descr="index-207_1.png"/>
                    <pic:cNvPicPr/>
                  </pic:nvPicPr>
                  <pic:blipFill>
                    <a:blip r:embed="rId481"/>
                    <a:stretch>
                      <a:fillRect/>
                    </a:stretch>
                  </pic:blipFill>
                  <pic:spPr>
                    <a:xfrm>
                      <a:off x="0" y="0"/>
                      <a:ext cx="3657600" cy="2438400"/>
                    </a:xfrm>
                    <a:prstGeom prst="rect">
                      <a:avLst/>
                    </a:prstGeom>
                  </pic:spPr>
                </pic:pic>
              </a:graphicData>
            </a:graphic>
          </wp:anchor>
        </w:drawing>
      </w:r>
    </w:p>
    <w:p>
      <w:pPr>
        <w:pStyle w:val="Para 25"/>
      </w:pPr>
      <w:r>
        <w:t/>
      </w:r>
    </w:p>
    <w:p>
      <w:pPr>
        <w:pStyle w:val="Para 13"/>
      </w:pPr>
      <w:r>
        <w:t xml:space="preserve"> </w:t>
      </w:r>
    </w:p>
    <w:p>
      <w:pPr>
        <w:pStyle w:val="Para 25"/>
      </w:pPr>
      <w:r>
        <w:t/>
      </w:r>
    </w:p>
    <w:p>
      <w:pPr>
        <w:pStyle w:val="Para 10"/>
      </w:pPr>
      <w:r>
        <w:t xml:space="preserve">Figure 8.3: Windows XP WinMSD (msinfo32.exe). </w:t>
      </w:r>
    </w:p>
    <w:p>
      <w:pPr>
        <w:pStyle w:val="Para 25"/>
      </w:pPr>
      <w:r>
        <w:t/>
      </w:r>
    </w:p>
    <w:p>
      <w:pPr>
        <w:pStyle w:val="Para 02"/>
      </w:pPr>
      <w:r>
        <w:t xml:space="preserve">You can use the new msinfo32.exe filename or the older winMSD.exe filename to initiate this tool on </w:t>
      </w:r>
    </w:p>
    <w:p>
      <w:pPr>
        <w:pStyle w:val="Para 02"/>
      </w:pPr>
      <w:r>
        <w:t xml:space="preserve">Win2K and Windows XP systems. However, on Windows XP, you must call MSInfo32 directly to </w:t>
      </w:r>
    </w:p>
    <w:p>
      <w:pPr>
        <w:pStyle w:val="Para 02"/>
      </w:pPr>
      <w:r>
        <w:t xml:space="preserve">utilize the supported command-line switches. </w:t>
      </w:r>
    </w:p>
    <w:p>
      <w:pPr>
        <w:pStyle w:val="Para 25"/>
      </w:pPr>
      <w:r>
        <w:t/>
      </w:r>
    </w:p>
    <w:p>
      <w:pPr>
        <w:pStyle w:val="Para 02"/>
      </w:pPr>
      <w:r>
        <w:t xml:space="preserve">When automating WinMSD from the command line, be aware that if the Server Service is not running, </w:t>
      </w:r>
    </w:p>
    <w:p>
      <w:pPr>
        <w:pStyle w:val="Para 02"/>
      </w:pPr>
      <w:r>
        <w:t xml:space="preserve">WinMSD will show a warning dialog box.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78" name="index-207_2.png" descr="index-207_2.png"/>
            <wp:cNvGraphicFramePr>
              <a:graphicFrameLocks noChangeAspect="1"/>
            </wp:cNvGraphicFramePr>
            <a:graphic>
              <a:graphicData uri="http://schemas.openxmlformats.org/drawingml/2006/picture">
                <pic:pic>
                  <pic:nvPicPr>
                    <pic:cNvPr id="0" name="index-207_2.png" descr="index-207_2.png"/>
                    <pic:cNvPicPr/>
                  </pic:nvPicPr>
                  <pic:blipFill>
                    <a:blip r:embed="rId48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79" name="index-207_3.png" descr="index-207_3.png"/>
            <wp:cNvGraphicFramePr>
              <a:graphicFrameLocks noChangeAspect="1"/>
            </wp:cNvGraphicFramePr>
            <a:graphic>
              <a:graphicData uri="http://schemas.openxmlformats.org/drawingml/2006/picture">
                <pic:pic>
                  <pic:nvPicPr>
                    <pic:cNvPr id="0" name="index-207_3.png" descr="index-207_3.png"/>
                    <pic:cNvPicPr/>
                  </pic:nvPicPr>
                  <pic:blipFill>
                    <a:blip r:embed="rId483"/>
                    <a:stretch>
                      <a:fillRect/>
                    </a:stretch>
                  </pic:blipFill>
                  <pic:spPr>
                    <a:xfrm>
                      <a:off x="0" y="0"/>
                      <a:ext cx="914400" cy="444500"/>
                    </a:xfrm>
                    <a:prstGeom prst="rect">
                      <a:avLst/>
                    </a:prstGeom>
                  </pic:spPr>
                </pic:pic>
              </a:graphicData>
            </a:graphic>
          </wp:anchor>
        </w:drawing>
      </w:r>
    </w:p>
    <w:p>
      <w:pPr>
        <w:pStyle w:val="0 Block"/>
      </w:pPr>
    </w:p>
    <w:p>
      <w:bookmarkStart w:id="217" w:name="Chapter_8_8"/>
      <w:pPr>
        <w:pStyle w:val="Heading 1"/>
        <w:pageBreakBefore w:val="on"/>
      </w:pPr>
      <w:r>
        <w:t>Chapter 8</w:t>
      </w:r>
      <w:bookmarkEnd w:id="217"/>
    </w:p>
    <w:p>
      <w:pPr>
        <w:pStyle w:val="Para 25"/>
      </w:pPr>
      <w:r>
        <w:t/>
      </w:r>
    </w:p>
    <w:p>
      <w:pPr>
        <w:pStyle w:val="Para 12"/>
      </w:pPr>
      <w:r>
        <w:t xml:space="preserve">Software Licensing </w:t>
      </w:r>
    </w:p>
    <w:p>
      <w:pPr>
        <w:pStyle w:val="Para 25"/>
      </w:pPr>
      <w:r>
        <w:t/>
      </w:r>
    </w:p>
    <w:p>
      <w:pPr>
        <w:pStyle w:val="Normal"/>
      </w:pPr>
      <w:r>
        <w:t xml:space="preserve">When many think of inventory and asset management, software inventory immediately comes to </w:t>
      </w:r>
    </w:p>
    <w:p>
      <w:pPr>
        <w:pStyle w:val="Normal"/>
      </w:pPr>
      <w:r>
        <w:t xml:space="preserve">mind. Do you have enough licenses? Do you have too many? What software do you have </w:t>
      </w:r>
    </w:p>
    <w:p>
      <w:pPr>
        <w:pStyle w:val="Normal"/>
      </w:pPr>
      <w:r>
        <w:t xml:space="preserve">installed throughout your network? We will cover these and other topics as they relate to software licensing in this section. </w:t>
      </w:r>
    </w:p>
    <w:p>
      <w:pPr>
        <w:pStyle w:val="Para 25"/>
      </w:pPr>
      <w:r>
        <w:t/>
      </w:r>
    </w:p>
    <w:p>
      <w:pPr>
        <w:pStyle w:val="Para 07"/>
      </w:pPr>
      <w:r>
        <w:t xml:space="preserve">Ensuring License Compliance </w:t>
      </w:r>
    </w:p>
    <w:p>
      <w:pPr>
        <w:pStyle w:val="Normal"/>
      </w:pPr>
      <w:r>
        <w:t xml:space="preserve">Current legislature supports software abuse policies and heavy fines are now being imposed </w:t>
      </w:r>
    </w:p>
    <w:p>
      <w:pPr>
        <w:pStyle w:val="Normal"/>
      </w:pPr>
      <w:r>
        <w:t xml:space="preserve">upon companies not complaint with software licenses. Failure to maintain a sufficient number of </w:t>
      </w:r>
    </w:p>
    <w:p>
      <w:pPr>
        <w:pStyle w:val="Normal"/>
      </w:pPr>
      <w:r>
        <w:t xml:space="preserve">licenses on your network can be a costly situation. </w:t>
      </w:r>
    </w:p>
    <w:p>
      <w:pPr>
        <w:pStyle w:val="Para 25"/>
      </w:pPr>
      <w:r>
        <w:t/>
      </w:r>
    </w:p>
    <w:p>
      <w:pPr>
        <w:pStyle w:val="Normal"/>
      </w:pPr>
      <w:r>
        <w:t xml:space="preserve">More and more employees are utilizing applications on desktops and laptops. Take into </w:t>
      </w:r>
    </w:p>
    <w:p>
      <w:pPr>
        <w:pStyle w:val="Normal"/>
      </w:pPr>
      <w:r>
        <w:t xml:space="preserve">consideration the number of licenses purchased, various software versions operating within your </w:t>
      </w:r>
    </w:p>
    <w:p>
      <w:pPr>
        <w:pStyle w:val="Normal"/>
      </w:pPr>
      <w:r>
        <w:t xml:space="preserve">company, and the types of licenses you own for each application. With these and other variables, </w:t>
      </w:r>
    </w:p>
    <w:p>
      <w:pPr>
        <w:pStyle w:val="Normal"/>
      </w:pPr>
      <w:r>
        <w:t>software license compliance tracking can be a challenge—even with the right tools. Operating without such tools can make license management a nearly impossible, and certainly time-</w:t>
      </w:r>
    </w:p>
    <w:p>
      <w:pPr>
        <w:pStyle w:val="Normal"/>
      </w:pPr>
      <w:r>
        <w:t xml:space="preserve">consuming, task. </w:t>
      </w:r>
    </w:p>
    <w:p>
      <w:pPr>
        <w:pStyle w:val="Para 25"/>
      </w:pPr>
      <w:r>
        <w:t/>
      </w:r>
    </w:p>
    <w:p>
      <w:pPr>
        <w:pStyle w:val="Para 09"/>
      </w:pPr>
      <w:r>
        <w:t xml:space="preserve">License Types </w:t>
      </w:r>
    </w:p>
    <w:p>
      <w:pPr>
        <w:pStyle w:val="Para 25"/>
      </w:pPr>
      <w:r>
        <w:t/>
      </w:r>
    </w:p>
    <w:p>
      <w:pPr>
        <w:pStyle w:val="Normal"/>
      </w:pPr>
      <w:r>
        <w:t xml:space="preserve">In addition to the many ways licenses may be enforced, there is also the matter of how licenses </w:t>
      </w:r>
    </w:p>
    <w:p>
      <w:pPr>
        <w:pStyle w:val="Normal"/>
      </w:pPr>
      <w:r>
        <w:t xml:space="preserve">are to be allocated—some are to be tracked per user, others are to be tracked per seat (system), </w:t>
      </w:r>
    </w:p>
    <w:p>
      <w:pPr>
        <w:pStyle w:val="Normal"/>
      </w:pPr>
      <w:r>
        <w:t xml:space="preserve">there are licenses intended for a limited number of active users, and finally some cover an entire organization. </w:t>
      </w:r>
    </w:p>
    <w:p>
      <w:pPr>
        <w:pStyle w:val="Para 25"/>
      </w:pPr>
      <w:r>
        <w:t/>
      </w:r>
    </w:p>
    <w:p>
      <w:pPr>
        <w:pStyle w:val="Para 04"/>
      </w:pPr>
      <w:r>
        <w:t xml:space="preserve">• </w:t>
        <w:t xml:space="preserve">Per user—Licensing tracked per user or per developer means that you must have a license </w:t>
      </w:r>
    </w:p>
    <w:p>
      <w:pPr>
        <w:pStyle w:val="Para 01"/>
      </w:pPr>
      <w:r>
        <w:t xml:space="preserve">for each individual who makes use of the software. Per user licensing normally allows for </w:t>
      </w:r>
    </w:p>
    <w:p>
      <w:pPr>
        <w:pStyle w:val="Para 01"/>
      </w:pPr>
      <w:r>
        <w:t xml:space="preserve">multiple installations so long as the number of individuals that use the software is </w:t>
      </w:r>
    </w:p>
    <w:p>
      <w:pPr>
        <w:pStyle w:val="Para 01"/>
      </w:pPr>
      <w:r>
        <w:t xml:space="preserve">accounted for. </w:t>
      </w:r>
    </w:p>
    <w:p>
      <w:pPr>
        <w:pStyle w:val="Para 25"/>
      </w:pPr>
      <w:r>
        <w:t/>
      </w:r>
    </w:p>
    <w:p>
      <w:pPr>
        <w:pStyle w:val="Para 02"/>
      </w:pPr>
      <w:r>
        <w:t xml:space="preserve">Software licensed per user normally records licensing information in the user profile. In this way, the </w:t>
      </w:r>
    </w:p>
    <w:p>
      <w:pPr>
        <w:pStyle w:val="Para 02"/>
      </w:pPr>
      <w:r>
        <w:t xml:space="preserve">user will be able to use the software in more than one location, but other users attempting to use the </w:t>
      </w:r>
    </w:p>
    <w:p>
      <w:pPr>
        <w:pStyle w:val="Para 02"/>
      </w:pPr>
      <w:r>
        <w:t xml:space="preserve">software will be prompted for registration information and/or denied access if their user profiles do not </w:t>
      </w:r>
    </w:p>
    <w:p>
      <w:pPr>
        <w:pStyle w:val="Para 02"/>
      </w:pPr>
      <w:r>
        <w:t xml:space="preserve">contain this valid licensing data. Although the licensing information is sometimes stored in a file, it is </w:t>
      </w:r>
    </w:p>
    <w:p>
      <w:pPr>
        <w:pStyle w:val="Para 02"/>
      </w:pPr>
      <w:r>
        <w:t xml:space="preserve">more commonly found in the registry under the vendor’s software key (for example, in the </w:t>
      </w:r>
    </w:p>
    <w:p>
      <w:pPr>
        <w:pStyle w:val="Para 02"/>
      </w:pPr>
      <w:r>
        <w:t>HKEY_CURRENT_USER\Software\</w:t>
        <w:t>\</w:t>
        <w:t xml:space="preserve"> key). </w:t>
      </w:r>
    </w:p>
    <w:p>
      <w:pPr>
        <w:pStyle w:val="Para 25"/>
      </w:pPr>
      <w:r>
        <w:t/>
      </w:r>
    </w:p>
    <w:p>
      <w:pPr>
        <w:pStyle w:val="Para 04"/>
      </w:pPr>
      <w:r>
        <w:t xml:space="preserve">• </w:t>
        <w:t xml:space="preserve">Per seat—Per seat licensing is typically reserved for client/server applications for which </w:t>
      </w:r>
    </w:p>
    <w:p>
      <w:pPr>
        <w:pStyle w:val="Para 01"/>
      </w:pPr>
      <w:r>
        <w:t xml:space="preserve">many clients throughout a network have a client-side service or agent installed. Per seat </w:t>
      </w:r>
    </w:p>
    <w:p>
      <w:pPr>
        <w:pStyle w:val="Para 01"/>
      </w:pPr>
      <w:r>
        <w:t xml:space="preserve">commonly means per system; thus, regardless of the number of users on the network, each computer that executes the application must have its own license. </w:t>
      </w:r>
    </w:p>
    <w:p>
      <w:pPr>
        <w:pStyle w:val="Para 25"/>
      </w:pPr>
      <w:r>
        <w:t/>
      </w:r>
    </w:p>
    <w:p>
      <w:pPr>
        <w:pStyle w:val="Para 01"/>
      </w:pPr>
      <w:r>
        <w:t xml:space="preserve">Per seat licensing is usually enforced by the server-side component of the software, such </w:t>
      </w:r>
    </w:p>
    <w:p>
      <w:pPr>
        <w:pStyle w:val="Para 01"/>
      </w:pPr>
      <w:r>
        <w:t xml:space="preserve">as with many desktop management systems. The server counts the number of client </w:t>
      </w:r>
    </w:p>
    <w:p>
      <w:pPr>
        <w:pStyle w:val="Para 01"/>
      </w:pPr>
      <w:r>
        <w:t xml:space="preserve">systems that it has worked with and tracks this number against the number of purchased licenses. It is up to the vendor as to how license violations are to be handled; some will </w:t>
      </w:r>
    </w:p>
    <w:p>
      <w:pPr>
        <w:pStyle w:val="Para 01"/>
      </w:pPr>
      <w:r>
        <w:t xml:space="preserve">provide warnings, while others will cease operation (at least on any additional systems) </w:t>
      </w:r>
    </w:p>
    <w:p>
      <w:pPr>
        <w:pStyle w:val="Para 01"/>
      </w:pPr>
      <w:r>
        <w:t xml:space="preserve">until the number of per-seat licenses is appropriately increased.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80" name="index-208_1.png" descr="index-208_1.png"/>
            <wp:cNvGraphicFramePr>
              <a:graphicFrameLocks noChangeAspect="1"/>
            </wp:cNvGraphicFramePr>
            <a:graphic>
              <a:graphicData uri="http://schemas.openxmlformats.org/drawingml/2006/picture">
                <pic:pic>
                  <pic:nvPicPr>
                    <pic:cNvPr id="0" name="index-208_1.png" descr="index-208_1.png"/>
                    <pic:cNvPicPr/>
                  </pic:nvPicPr>
                  <pic:blipFill>
                    <a:blip r:embed="rId48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81" name="index-208_2.png" descr="index-208_2.png"/>
            <wp:cNvGraphicFramePr>
              <a:graphicFrameLocks noChangeAspect="1"/>
            </wp:cNvGraphicFramePr>
            <a:graphic>
              <a:graphicData uri="http://schemas.openxmlformats.org/drawingml/2006/picture">
                <pic:pic>
                  <pic:nvPicPr>
                    <pic:cNvPr id="0" name="index-208_2.png" descr="index-208_2.png"/>
                    <pic:cNvPicPr/>
                  </pic:nvPicPr>
                  <pic:blipFill>
                    <a:blip r:embed="rId485"/>
                    <a:stretch>
                      <a:fillRect/>
                    </a:stretch>
                  </pic:blipFill>
                  <pic:spPr>
                    <a:xfrm>
                      <a:off x="0" y="0"/>
                      <a:ext cx="914400" cy="444500"/>
                    </a:xfrm>
                    <a:prstGeom prst="rect">
                      <a:avLst/>
                    </a:prstGeom>
                  </pic:spPr>
                </pic:pic>
              </a:graphicData>
            </a:graphic>
          </wp:anchor>
        </w:drawing>
      </w:r>
    </w:p>
    <w:p>
      <w:pPr>
        <w:pStyle w:val="0 Block"/>
      </w:pPr>
    </w:p>
    <w:p>
      <w:bookmarkStart w:id="218" w:name="Chapter_8_9"/>
      <w:pPr>
        <w:pStyle w:val="Heading 1"/>
        <w:pageBreakBefore w:val="on"/>
      </w:pPr>
      <w:r>
        <w:t>Chapter 8</w:t>
      </w:r>
      <w:bookmarkEnd w:id="218"/>
    </w:p>
    <w:p>
      <w:pPr>
        <w:pStyle w:val="Para 25"/>
      </w:pPr>
      <w:r>
        <w:t/>
      </w:r>
    </w:p>
    <w:p>
      <w:pPr>
        <w:pStyle w:val="Para 02"/>
      </w:pPr>
      <w:r>
        <w:t xml:space="preserve">Particularly for server software products, an increasingly common licensing model is per processor, </w:t>
      </w:r>
    </w:p>
    <w:p>
      <w:pPr>
        <w:pStyle w:val="Para 02"/>
      </w:pPr>
      <w:r>
        <w:t xml:space="preserve">with which licenses are required for each CPU in the server. </w:t>
      </w:r>
    </w:p>
    <w:p>
      <w:pPr>
        <w:pStyle w:val="Para 25"/>
      </w:pPr>
      <w:r>
        <w:t/>
      </w:r>
    </w:p>
    <w:p>
      <w:pPr>
        <w:pStyle w:val="Para 04"/>
      </w:pPr>
      <w:r>
        <w:t xml:space="preserve">• </w:t>
        <w:t xml:space="preserve">Concurrent usage—Concurrent licensing refers to the number of active instances at any </w:t>
      </w:r>
    </w:p>
    <w:p>
      <w:pPr>
        <w:pStyle w:val="Para 01"/>
      </w:pPr>
      <w:r>
        <w:t xml:space="preserve">one time. In this scenario, you may have only a dozen licenses for a particular application </w:t>
      </w:r>
    </w:p>
    <w:p>
      <w:pPr>
        <w:pStyle w:val="Para 01"/>
      </w:pPr>
      <w:r>
        <w:t xml:space="preserve">though you have hundreds of installed systems and potential users. Not until the thirteenth user of the software attempts to initiate the application do you have a license </w:t>
      </w:r>
    </w:p>
    <w:p>
      <w:pPr>
        <w:pStyle w:val="Para 01"/>
      </w:pPr>
      <w:r>
        <w:t xml:space="preserve">violation. </w:t>
      </w:r>
    </w:p>
    <w:p>
      <w:pPr>
        <w:pStyle w:val="Para 25"/>
      </w:pPr>
      <w:r>
        <w:t/>
      </w:r>
    </w:p>
    <w:p>
      <w:pPr>
        <w:pStyle w:val="Para 01"/>
      </w:pPr>
      <w:r>
        <w:t xml:space="preserve">Concurrent usage is often tracked by organizations using software metering tools. </w:t>
      </w:r>
    </w:p>
    <w:p>
      <w:pPr>
        <w:pStyle w:val="Para 01"/>
      </w:pPr>
      <w:r>
        <w:t xml:space="preserve">Metering tools record the times a software product is launched and exited. Once the maximum available licenses are in use, some metering products will even go so far as to </w:t>
      </w:r>
    </w:p>
    <w:p>
      <w:pPr>
        <w:pStyle w:val="Para 01"/>
      </w:pPr>
      <w:r>
        <w:t xml:space="preserve">halt a license violation from taking place by denying further execution of the application </w:t>
      </w:r>
    </w:p>
    <w:p>
      <w:pPr>
        <w:pStyle w:val="Para 01"/>
      </w:pPr>
      <w:r>
        <w:t xml:space="preserve">until other instances on the network are closed. </w:t>
      </w:r>
    </w:p>
    <w:p>
      <w:pPr>
        <w:pStyle w:val="Para 25"/>
      </w:pPr>
      <w:r>
        <w:t/>
      </w:r>
    </w:p>
    <w:p>
      <w:pPr>
        <w:pStyle w:val="Para 04"/>
      </w:pPr>
      <w:r>
        <w:t xml:space="preserve">• </w:t>
        <w:t xml:space="preserve">Site licenses—A site, or enterprise, license indicates that an entire company, domain, or </w:t>
      </w:r>
    </w:p>
    <w:p>
      <w:pPr>
        <w:pStyle w:val="Para 01"/>
      </w:pPr>
      <w:r>
        <w:t xml:space="preserve">location can utilize the software without concern for the number of systems, users, or its </w:t>
      </w:r>
    </w:p>
    <w:p>
      <w:pPr>
        <w:pStyle w:val="Para 01"/>
      </w:pPr>
      <w:r>
        <w:t xml:space="preserve">concurrent usage. Although the most expensive, such a license is also the easiest to </w:t>
      </w:r>
    </w:p>
    <w:p>
      <w:pPr>
        <w:pStyle w:val="Para 01"/>
      </w:pPr>
      <w:r>
        <w:t xml:space="preserve">administer. </w:t>
      </w:r>
    </w:p>
    <w:p>
      <w:pPr>
        <w:pStyle w:val="Para 25"/>
      </w:pPr>
      <w:r>
        <w:t/>
      </w:r>
    </w:p>
    <w:p>
      <w:pPr>
        <w:pStyle w:val="Para 07"/>
      </w:pPr>
      <w:r>
        <w:t xml:space="preserve">Licensing Methods </w:t>
      </w:r>
    </w:p>
    <w:p>
      <w:pPr>
        <w:pStyle w:val="Normal"/>
      </w:pPr>
      <w:r>
        <w:t xml:space="preserve">There are several ways that software vendors dictate licensing requirements for their software. As we will cover in this section, these methods may include the implementation of license </w:t>
      </w:r>
    </w:p>
    <w:p>
      <w:pPr>
        <w:pStyle w:val="Normal"/>
      </w:pPr>
      <w:r>
        <w:t xml:space="preserve">management servers, registration codes, and files. </w:t>
      </w:r>
    </w:p>
    <w:p>
      <w:pPr>
        <w:pStyle w:val="Para 25"/>
      </w:pPr>
      <w:r>
        <w:t/>
      </w:r>
    </w:p>
    <w:p>
      <w:pPr>
        <w:pStyle w:val="Para 04"/>
      </w:pPr>
      <w:r>
        <w:t xml:space="preserve">• </w:t>
        <w:t xml:space="preserve">License servers—A license server is usually used to track concurrent usage of a product. </w:t>
      </w:r>
    </w:p>
    <w:p>
      <w:pPr>
        <w:pStyle w:val="Para 01"/>
      </w:pPr>
      <w:r>
        <w:t xml:space="preserve">Per seat licensing is often tracked by the application itself, whereas a license server will actually do the job of recording the number of instances currently in use. When the </w:t>
      </w:r>
    </w:p>
    <w:p>
      <w:pPr>
        <w:pStyle w:val="Para 01"/>
      </w:pPr>
      <w:r>
        <w:t xml:space="preserve">number of purchased licenses is exceeded, further attempts to launch the application are </w:t>
      </w:r>
    </w:p>
    <w:p>
      <w:pPr>
        <w:pStyle w:val="Para 01"/>
      </w:pPr>
      <w:r>
        <w:t xml:space="preserve">typically met with a warning dialog box that instructs the user of the problem, then exits </w:t>
      </w:r>
    </w:p>
    <w:p>
      <w:pPr>
        <w:pStyle w:val="Para 01"/>
      </w:pPr>
      <w:r>
        <w:t xml:space="preserve">the application. Such being the case, you must either wait for licenses to become available (as others close the application) or purchase additional licenses to increase the </w:t>
      </w:r>
    </w:p>
    <w:p>
      <w:pPr>
        <w:pStyle w:val="Para 01"/>
      </w:pPr>
      <w:r>
        <w:t xml:space="preserve">number of allowable instances. </w:t>
      </w:r>
    </w:p>
    <w:p>
      <w:pPr>
        <w:pStyle w:val="Para 25"/>
      </w:pPr>
      <w:r>
        <w:t/>
      </w:r>
    </w:p>
    <w:p>
      <w:pPr>
        <w:pStyle w:val="Para 04"/>
      </w:pPr>
      <w:r>
        <w:t xml:space="preserve">• License files—A typical license file implementation is in the format of a binary file </w:t>
      </w:r>
    </w:p>
    <w:p>
      <w:pPr>
        <w:pStyle w:val="Para 01"/>
      </w:pPr>
      <w:r>
        <w:t xml:space="preserve">provided when a purchase is made. The license file may include information such as the number of per seat licenses, concurrent licenses, company name, expiration date, and </w:t>
      </w:r>
    </w:p>
    <w:p>
      <w:pPr>
        <w:pStyle w:val="Para 01"/>
      </w:pPr>
      <w:r>
        <w:t xml:space="preserve">product support or upgrade coverage. The application provides a method for accepting </w:t>
      </w:r>
    </w:p>
    <w:p>
      <w:pPr>
        <w:pStyle w:val="Para 01"/>
      </w:pPr>
      <w:r>
        <w:t xml:space="preserve">this license file where the details of your purchase may be processed by the application in question. </w:t>
      </w:r>
    </w:p>
    <w:p>
      <w:pPr>
        <w:pStyle w:val="Para 25"/>
      </w:pPr>
      <w:r>
        <w:t/>
      </w:r>
    </w:p>
    <w:p>
      <w:pPr>
        <w:pStyle w:val="Para 04"/>
      </w:pPr>
      <w:r>
        <w:t xml:space="preserve">• </w:t>
        <w:t xml:space="preserve">Serial/Registration strings—The most common implementation of software registration is </w:t>
      </w:r>
    </w:p>
    <w:p>
      <w:pPr>
        <w:pStyle w:val="Para 01"/>
      </w:pPr>
      <w:r>
        <w:t xml:space="preserve">for applications to request a serial number, registration, or product code during </w:t>
      </w:r>
    </w:p>
    <w:p>
      <w:pPr>
        <w:pStyle w:val="Para 01"/>
      </w:pPr>
      <w:r>
        <w:t xml:space="preserve">installation or upon first launch of the software. Many applications are usable in a limited configuration until such registration information is provided to “unlock” the application </w:t>
      </w:r>
    </w:p>
    <w:p>
      <w:pPr>
        <w:pStyle w:val="Para 01"/>
      </w:pPr>
      <w:r>
        <w:t xml:space="preserve">and allow full use of what the program has to offer. This setup provides vendors the </w:t>
      </w:r>
    </w:p>
    <w:p>
      <w:pPr>
        <w:pStyle w:val="Para 01"/>
      </w:pPr>
      <w:r>
        <w:t xml:space="preserve">ability to let you try the software in a limited capacity and/or for a certain period of time. </w:t>
      </w:r>
    </w:p>
    <w:p>
      <w:pPr>
        <w:pStyle w:val="Para 01"/>
      </w:pPr>
      <w:r>
        <w:t xml:space="preserve">Further, it saves you from the need to redeploy the software if the evaluation results in the purchase of licenses.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82" name="index-209_1.png" descr="index-209_1.png"/>
            <wp:cNvGraphicFramePr>
              <a:graphicFrameLocks noChangeAspect="1"/>
            </wp:cNvGraphicFramePr>
            <a:graphic>
              <a:graphicData uri="http://schemas.openxmlformats.org/drawingml/2006/picture">
                <pic:pic>
                  <pic:nvPicPr>
                    <pic:cNvPr id="0" name="index-209_1.png" descr="index-209_1.png"/>
                    <pic:cNvPicPr/>
                  </pic:nvPicPr>
                  <pic:blipFill>
                    <a:blip r:embed="rId48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83" name="index-209_2.png" descr="index-209_2.png"/>
            <wp:cNvGraphicFramePr>
              <a:graphicFrameLocks noChangeAspect="1"/>
            </wp:cNvGraphicFramePr>
            <a:graphic>
              <a:graphicData uri="http://schemas.openxmlformats.org/drawingml/2006/picture">
                <pic:pic>
                  <pic:nvPicPr>
                    <pic:cNvPr id="0" name="index-209_2.png" descr="index-209_2.png"/>
                    <pic:cNvPicPr/>
                  </pic:nvPicPr>
                  <pic:blipFill>
                    <a:blip r:embed="rId487"/>
                    <a:stretch>
                      <a:fillRect/>
                    </a:stretch>
                  </pic:blipFill>
                  <pic:spPr>
                    <a:xfrm>
                      <a:off x="0" y="0"/>
                      <a:ext cx="914400" cy="444500"/>
                    </a:xfrm>
                    <a:prstGeom prst="rect">
                      <a:avLst/>
                    </a:prstGeom>
                  </pic:spPr>
                </pic:pic>
              </a:graphicData>
            </a:graphic>
          </wp:anchor>
        </w:drawing>
      </w:r>
    </w:p>
    <w:p>
      <w:pPr>
        <w:pStyle w:val="0 Block"/>
      </w:pPr>
    </w:p>
    <w:p>
      <w:bookmarkStart w:id="219" w:name="Chapter_8_10"/>
      <w:pPr>
        <w:pStyle w:val="Heading 1"/>
        <w:pageBreakBefore w:val="on"/>
      </w:pPr>
      <w:r>
        <w:t>Chapter 8</w:t>
      </w:r>
      <w:bookmarkEnd w:id="219"/>
    </w:p>
    <w:p>
      <w:pPr>
        <w:pStyle w:val="Para 25"/>
      </w:pPr>
      <w:r>
        <w:t/>
      </w:r>
    </w:p>
    <w:p>
      <w:pPr>
        <w:pStyle w:val="Para 02"/>
      </w:pPr>
      <w:r>
        <w:t xml:space="preserve">Although some licensing implementations use information—such as the network card MAC address </w:t>
      </w:r>
    </w:p>
    <w:p>
      <w:pPr>
        <w:pStyle w:val="Para 02"/>
      </w:pPr>
      <w:r>
        <w:t xml:space="preserve">or other unique identifier—to pair a provided license code with a specific system, the same license </w:t>
      </w:r>
    </w:p>
    <w:p>
      <w:pPr>
        <w:pStyle w:val="Para 02"/>
      </w:pPr>
      <w:r>
        <w:t xml:space="preserve">code may often be used on multiple systems. Is this okay? To know for certain, you would need to </w:t>
      </w:r>
    </w:p>
    <w:p>
      <w:pPr>
        <w:pStyle w:val="Para 02"/>
      </w:pPr>
      <w:r>
        <w:t xml:space="preserve">ask each software vendor that you deal with. However, it is often considered to be acceptable to </w:t>
      </w:r>
    </w:p>
    <w:p>
      <w:pPr>
        <w:pStyle w:val="Para 02"/>
      </w:pPr>
      <w:r>
        <w:t xml:space="preserve">deploy software using the same registration information as long as you have the proper number of </w:t>
      </w:r>
    </w:p>
    <w:p>
      <w:pPr>
        <w:pStyle w:val="Para 02"/>
      </w:pPr>
      <w:r>
        <w:t xml:space="preserve">licenses in your possession. </w:t>
      </w:r>
    </w:p>
    <w:p>
      <w:pPr>
        <w:pStyle w:val="Para 25"/>
      </w:pPr>
      <w:r>
        <w:t/>
      </w:r>
    </w:p>
    <w:p>
      <w:pPr>
        <w:pStyle w:val="Para 07"/>
      </w:pPr>
      <w:r>
        <w:t xml:space="preserve">Buying Only What You Use </w:t>
      </w:r>
    </w:p>
    <w:p>
      <w:pPr>
        <w:pStyle w:val="Normal"/>
      </w:pPr>
      <w:r>
        <w:t xml:space="preserve">Having a clear picture of what you have and what you are using can save a considerable amount </w:t>
      </w:r>
    </w:p>
    <w:p>
      <w:pPr>
        <w:pStyle w:val="Normal"/>
      </w:pPr>
      <w:r>
        <w:t xml:space="preserve">of money when it comes time to purchase upgrades or extend support offerings. If software is </w:t>
      </w:r>
    </w:p>
    <w:p>
      <w:pPr>
        <w:pStyle w:val="Normal"/>
      </w:pPr>
      <w:r>
        <w:t xml:space="preserve">deployed to all systems, and you are able to determine that only 10 percent of the users ever utilize it, renew the annual support contract for only those systems that require it. How do you </w:t>
      </w:r>
    </w:p>
    <w:p>
      <w:pPr>
        <w:pStyle w:val="Normal"/>
      </w:pPr>
      <w:r>
        <w:t xml:space="preserve">know what is being used? Through software metering. </w:t>
      </w:r>
    </w:p>
    <w:p>
      <w:pPr>
        <w:pStyle w:val="Para 25"/>
      </w:pPr>
      <w:r>
        <w:t/>
      </w:r>
    </w:p>
    <w:p>
      <w:pPr>
        <w:pStyle w:val="Para 09"/>
      </w:pPr>
      <w:r>
        <w:t xml:space="preserve">Software Metering </w:t>
      </w:r>
    </w:p>
    <w:p>
      <w:pPr>
        <w:pStyle w:val="Para 25"/>
      </w:pPr>
      <w:r>
        <w:t/>
      </w:r>
    </w:p>
    <w:p>
      <w:pPr>
        <w:pStyle w:val="Normal"/>
      </w:pPr>
      <w:r>
        <w:t xml:space="preserve">Software metering measures concurrent usage of applications on your network. This </w:t>
      </w:r>
    </w:p>
    <w:p>
      <w:pPr>
        <w:pStyle w:val="Normal"/>
      </w:pPr>
      <w:r>
        <w:t xml:space="preserve">measurement may be limited to certain managed applications or may include all software across </w:t>
      </w:r>
    </w:p>
    <w:p>
      <w:pPr>
        <w:pStyle w:val="Normal"/>
      </w:pPr>
      <w:r>
        <w:t xml:space="preserve">the enterprise. At its most basic implementation, metering software measures when the software </w:t>
      </w:r>
    </w:p>
    <w:p>
      <w:pPr>
        <w:pStyle w:val="Normal"/>
      </w:pPr>
      <w:r>
        <w:t xml:space="preserve">is launched and when it is closed. This information alone can be very valuable when presented in concise reports. However, in addition to reporting, software metering solutions may also manage </w:t>
      </w:r>
    </w:p>
    <w:p>
      <w:pPr>
        <w:pStyle w:val="Normal"/>
      </w:pPr>
      <w:r>
        <w:t xml:space="preserve">and enforce concurrent usage licensing limits. Simply collecting and reporting information about </w:t>
      </w:r>
    </w:p>
    <w:p>
      <w:pPr>
        <w:pStyle w:val="Normal"/>
      </w:pPr>
      <w:r>
        <w:t xml:space="preserve">software usage is known as </w:t>
      </w:r>
      <w:r>
        <w:rPr>
          <w:rStyle w:val="Text0"/>
        </w:rPr>
        <w:t>passive metering</w:t>
      </w:r>
      <w:r>
        <w:t xml:space="preserve">, license enforcement is referred to as </w:t>
      </w:r>
      <w:r>
        <w:rPr>
          <w:rStyle w:val="Text0"/>
        </w:rPr>
        <w:t>active metering</w:t>
      </w:r>
      <w:r>
        <w:t xml:space="preserve">. </w:t>
      </w:r>
    </w:p>
    <w:p>
      <w:pPr>
        <w:pStyle w:val="Para 25"/>
      </w:pPr>
      <w:r>
        <w:t/>
      </w:r>
    </w:p>
    <w:p>
      <w:pPr>
        <w:pStyle w:val="Para 04"/>
      </w:pPr>
      <w:r>
        <w:t xml:space="preserve">• Passive metering—More common to metering solutions is the offering of passive </w:t>
      </w:r>
    </w:p>
    <w:p>
      <w:pPr>
        <w:pStyle w:val="Para 01"/>
      </w:pPr>
      <w:r>
        <w:t xml:space="preserve">metering functionality. With this functionality, executions are monitored and reported </w:t>
      </w:r>
    </w:p>
    <w:p>
      <w:pPr>
        <w:pStyle w:val="Para 01"/>
      </w:pPr>
      <w:r>
        <w:t xml:space="preserve">upon. Some solutions may generate administrative alerts when licenses are exceeded; however, these alerts are usually not provided in real time. Usage data is often collected </w:t>
      </w:r>
    </w:p>
    <w:p>
      <w:pPr>
        <w:pStyle w:val="Para 01"/>
      </w:pPr>
      <w:r>
        <w:t xml:space="preserve">locally, then reported to a management server at a defined interval. When collated, or </w:t>
      </w:r>
    </w:p>
    <w:p>
      <w:pPr>
        <w:pStyle w:val="Para 01"/>
      </w:pPr>
      <w:r>
        <w:t xml:space="preserve">when reports are generated, any violations can be identified and licenses may then be </w:t>
      </w:r>
    </w:p>
    <w:p>
      <w:pPr>
        <w:pStyle w:val="Para 01"/>
      </w:pPr>
      <w:r>
        <w:t xml:space="preserve">purchased to remedy the situation. </w:t>
      </w:r>
    </w:p>
    <w:p>
      <w:pPr>
        <w:pStyle w:val="Para 25"/>
      </w:pPr>
      <w:r>
        <w:t/>
      </w:r>
    </w:p>
    <w:p>
      <w:pPr>
        <w:pStyle w:val="Para 02"/>
      </w:pPr>
      <w:r>
        <w:t xml:space="preserve">Depending upon the metering solution, usage data can simply be execution and exit times or it may </w:t>
      </w:r>
    </w:p>
    <w:p>
      <w:pPr>
        <w:pStyle w:val="Para 02"/>
      </w:pPr>
      <w:r>
        <w:t xml:space="preserve">actually track activity. The ability to see the difference can be helpful because people may simply </w:t>
      </w:r>
    </w:p>
    <w:p>
      <w:pPr>
        <w:pStyle w:val="Para 02"/>
      </w:pPr>
      <w:r>
        <w:t xml:space="preserve">leave a program minimized all day and not actually use it. Although knowing this behavior does not </w:t>
      </w:r>
    </w:p>
    <w:p>
      <w:pPr>
        <w:pStyle w:val="Para 02"/>
      </w:pPr>
      <w:r>
        <w:t xml:space="preserve">necessarily help with licensing, it does give you a more accurate picture of what is really being used </w:t>
      </w:r>
    </w:p>
    <w:p>
      <w:pPr>
        <w:pStyle w:val="Para 02"/>
      </w:pPr>
      <w:r>
        <w:t xml:space="preserve">in your environment. Among other things, you can use usage data to determine what training may be </w:t>
      </w:r>
    </w:p>
    <w:p>
      <w:pPr>
        <w:pStyle w:val="Para 02"/>
      </w:pPr>
      <w:r>
        <w:t xml:space="preserve">of value as well as assessing which software upgrades may be of the most value to your users. </w:t>
      </w:r>
    </w:p>
    <w:p>
      <w:pPr>
        <w:pStyle w:val="Para 25"/>
      </w:pPr>
      <w:r>
        <w:t/>
      </w:r>
    </w:p>
    <w:p>
      <w:pPr>
        <w:pStyle w:val="Para 04"/>
      </w:pPr>
      <w:r>
        <w:t xml:space="preserve">• </w:t>
        <w:t xml:space="preserve">Active metering—License management servers are configured to track the execution of </w:t>
      </w:r>
    </w:p>
    <w:p>
      <w:pPr>
        <w:pStyle w:val="Para 01"/>
      </w:pPr>
      <w:r>
        <w:t xml:space="preserve">applications on the network. Although this tracking might be limited to certain </w:t>
      </w:r>
    </w:p>
    <w:p>
      <w:pPr>
        <w:pStyle w:val="Para 01"/>
      </w:pPr>
      <w:r>
        <w:t xml:space="preserve">applications, when launched, the client software checks with the licensing server to determine whether there are available licenses. If there are, the application is allowed to </w:t>
      </w:r>
    </w:p>
    <w:p>
      <w:pPr>
        <w:pStyle w:val="Para 01"/>
      </w:pPr>
      <w:r>
        <w:t xml:space="preserve">execute and the number of available licenses is decremented. When the number of </w:t>
      </w:r>
    </w:p>
    <w:p>
      <w:pPr>
        <w:pStyle w:val="Para 01"/>
      </w:pPr>
      <w:r>
        <w:t xml:space="preserve">configured licenses is exceeded, the metering solution may notify the user to try again later or may even provide the option to be notified when a license becomes available.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84" name="index-210_1.png" descr="index-210_1.png"/>
            <wp:cNvGraphicFramePr>
              <a:graphicFrameLocks noChangeAspect="1"/>
            </wp:cNvGraphicFramePr>
            <a:graphic>
              <a:graphicData uri="http://schemas.openxmlformats.org/drawingml/2006/picture">
                <pic:pic>
                  <pic:nvPicPr>
                    <pic:cNvPr id="0" name="index-210_1.png" descr="index-210_1.png"/>
                    <pic:cNvPicPr/>
                  </pic:nvPicPr>
                  <pic:blipFill>
                    <a:blip r:embed="rId488"/>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85" name="index-210_2.png" descr="index-210_2.png"/>
            <wp:cNvGraphicFramePr>
              <a:graphicFrameLocks noChangeAspect="1"/>
            </wp:cNvGraphicFramePr>
            <a:graphic>
              <a:graphicData uri="http://schemas.openxmlformats.org/drawingml/2006/picture">
                <pic:pic>
                  <pic:nvPicPr>
                    <pic:cNvPr id="0" name="index-210_2.png" descr="index-210_2.png"/>
                    <pic:cNvPicPr/>
                  </pic:nvPicPr>
                  <pic:blipFill>
                    <a:blip r:embed="rId489"/>
                    <a:stretch>
                      <a:fillRect/>
                    </a:stretch>
                  </pic:blipFill>
                  <pic:spPr>
                    <a:xfrm>
                      <a:off x="0" y="0"/>
                      <a:ext cx="914400" cy="444500"/>
                    </a:xfrm>
                    <a:prstGeom prst="rect">
                      <a:avLst/>
                    </a:prstGeom>
                  </pic:spPr>
                </pic:pic>
              </a:graphicData>
            </a:graphic>
          </wp:anchor>
        </w:drawing>
      </w:r>
    </w:p>
    <w:p>
      <w:pPr>
        <w:pStyle w:val="0 Block"/>
      </w:pPr>
    </w:p>
    <w:p>
      <w:bookmarkStart w:id="220" w:name="Chapter_8_11"/>
      <w:pPr>
        <w:pStyle w:val="Heading 1"/>
        <w:pageBreakBefore w:val="on"/>
      </w:pPr>
      <w:r>
        <w:t>Chapter 8</w:t>
      </w:r>
      <w:bookmarkEnd w:id="220"/>
    </w:p>
    <w:p>
      <w:pPr>
        <w:pStyle w:val="Para 25"/>
      </w:pPr>
      <w:r>
        <w:t/>
      </w:r>
    </w:p>
    <w:p>
      <w:pPr>
        <w:pStyle w:val="Para 01"/>
      </w:pPr>
      <w:r>
        <w:t xml:space="preserve">Naturally, the process of checking a license server for available licenses prior to allowing </w:t>
      </w:r>
    </w:p>
    <w:p>
      <w:pPr>
        <w:pStyle w:val="Para 01"/>
      </w:pPr>
      <w:r>
        <w:t xml:space="preserve">or disallowing execution can be a performance hit. In fact, there are a shrinking number </w:t>
      </w:r>
    </w:p>
    <w:p>
      <w:pPr>
        <w:pStyle w:val="Para 01"/>
      </w:pPr>
      <w:r>
        <w:t xml:space="preserve">of products providing this capability as a result of this performance hit. However, some implantations may be faster than others, and depending upon your network capabilities </w:t>
      </w:r>
    </w:p>
    <w:p>
      <w:pPr>
        <w:pStyle w:val="Para 01"/>
      </w:pPr>
      <w:r>
        <w:t xml:space="preserve">and licensing needs, this may be a suitable solution. </w:t>
      </w:r>
    </w:p>
    <w:p>
      <w:pPr>
        <w:pStyle w:val="Para 25"/>
      </w:pPr>
      <w:r>
        <w:t/>
      </w:r>
    </w:p>
    <w:p>
      <w:pPr>
        <w:pStyle w:val="Para 02"/>
      </w:pPr>
      <w:r>
        <w:t xml:space="preserve">Although software metering might seem like an excellent solution to licensing problems, you would be </w:t>
      </w:r>
    </w:p>
    <w:p>
      <w:pPr>
        <w:pStyle w:val="Para 02"/>
      </w:pPr>
      <w:r>
        <w:t xml:space="preserve">wise to investigate your software license agreements to determine whether this is acceptable. If per </w:t>
      </w:r>
    </w:p>
    <w:p>
      <w:pPr>
        <w:pStyle w:val="Para 02"/>
      </w:pPr>
      <w:r>
        <w:t xml:space="preserve">seat licensing has been dictated by the vendor, it may be unacceptable to implement your own </w:t>
      </w:r>
    </w:p>
    <w:p>
      <w:pPr>
        <w:pStyle w:val="Para 02"/>
      </w:pPr>
      <w:r>
        <w:t xml:space="preserve">concurrent usage management. </w:t>
      </w:r>
    </w:p>
    <w:p>
      <w:pPr>
        <w:pStyle w:val="Para 25"/>
      </w:pPr>
      <w:r>
        <w:t/>
      </w:r>
    </w:p>
    <w:p>
      <w:pPr>
        <w:pStyle w:val="Para 07"/>
      </w:pPr>
      <w:r>
        <w:t xml:space="preserve">Validating Your Environment </w:t>
      </w:r>
    </w:p>
    <w:p>
      <w:pPr>
        <w:pStyle w:val="Normal"/>
      </w:pPr>
      <w:r>
        <w:t xml:space="preserve">Suppose you have deployed a new software package to 300 systems. How many copies are out </w:t>
      </w:r>
    </w:p>
    <w:p>
      <w:pPr>
        <w:pStyle w:val="Normal"/>
      </w:pPr>
      <w:r>
        <w:t xml:space="preserve">there? If there is less, you can use the information to help investigate possible failures. If there </w:t>
      </w:r>
    </w:p>
    <w:p>
      <w:pPr>
        <w:pStyle w:val="Normal"/>
      </w:pPr>
      <w:r>
        <w:t xml:space="preserve">are more, you can use the information to help investigate unauthorized installations (or installations performed outside your deployment process). </w:t>
      </w:r>
    </w:p>
    <w:p>
      <w:pPr>
        <w:pStyle w:val="Para 25"/>
      </w:pPr>
      <w:r>
        <w:t/>
      </w:r>
    </w:p>
    <w:p>
      <w:pPr>
        <w:pStyle w:val="Normal"/>
      </w:pPr>
      <w:r>
        <w:t xml:space="preserve">Although many deployment solutions provide a means of reporting successes and failures, many </w:t>
      </w:r>
    </w:p>
    <w:p>
      <w:pPr>
        <w:pStyle w:val="Normal"/>
      </w:pPr>
      <w:r>
        <w:t xml:space="preserve">do a questionable job of it. Is it installed because the command line used to perform the silent installation did not return an error? Is it installed because the shortcut is now there or because </w:t>
      </w:r>
    </w:p>
    <w:p>
      <w:pPr>
        <w:pStyle w:val="Normal"/>
      </w:pPr>
      <w:r>
        <w:t xml:space="preserve">some other file you previously identified is now present? However you go about it, validating </w:t>
      </w:r>
    </w:p>
    <w:p>
      <w:pPr>
        <w:pStyle w:val="Normal"/>
      </w:pPr>
      <w:r>
        <w:t xml:space="preserve">your deployment efforts using software inventory provides added assurance of your success. </w:t>
      </w:r>
    </w:p>
    <w:p>
      <w:pPr>
        <w:pStyle w:val="Para 25"/>
      </w:pPr>
      <w:r>
        <w:t/>
      </w:r>
    </w:p>
    <w:p>
      <w:pPr>
        <w:pStyle w:val="Normal"/>
      </w:pPr>
      <w:r>
        <w:t xml:space="preserve">Perhaps the software you are to deploy is an update to an existing application. If some do not have the previous version as you expected, your installation will need to take that condition into </w:t>
      </w:r>
    </w:p>
    <w:p>
      <w:pPr>
        <w:pStyle w:val="Normal"/>
      </w:pPr>
      <w:r>
        <w:t xml:space="preserve">account. Further, there may be a very early version of the software on the network that you may </w:t>
      </w:r>
    </w:p>
    <w:p>
      <w:pPr>
        <w:pStyle w:val="Normal"/>
      </w:pPr>
      <w:r>
        <w:t xml:space="preserve">not have otherwise accounted for. Examining software inventory reports for dependencies or prerequisites can help you to provide a deployment package catered to the conditions that exist </w:t>
      </w:r>
    </w:p>
    <w:p>
      <w:pPr>
        <w:pStyle w:val="Normal"/>
      </w:pPr>
      <w:r>
        <w:t xml:space="preserve">within your unique environment—software inventory can show you what that unique </w:t>
      </w:r>
    </w:p>
    <w:p>
      <w:pPr>
        <w:pStyle w:val="Normal"/>
      </w:pPr>
      <w:r>
        <w:t xml:space="preserve">environment really is. </w:t>
      </w:r>
    </w:p>
    <w:p>
      <w:pPr>
        <w:pStyle w:val="Para 25"/>
      </w:pPr>
      <w:r>
        <w:t/>
      </w:r>
    </w:p>
    <w:p>
      <w:pPr>
        <w:pStyle w:val="Normal"/>
      </w:pPr>
      <w:r>
        <w:t xml:space="preserve">Having established a process for software deployment, there will still be those that step outside </w:t>
      </w:r>
    </w:p>
    <w:p>
      <w:pPr>
        <w:pStyle w:val="Normal"/>
      </w:pPr>
      <w:r>
        <w:t xml:space="preserve">that process. Either to side-step the approval process or to simply get what they want faster, </w:t>
      </w:r>
    </w:p>
    <w:p>
      <w:pPr>
        <w:pStyle w:val="Normal"/>
      </w:pPr>
      <w:r>
        <w:t xml:space="preserve">manual installations can be a real concern. Comparing what people have been deployed to what </w:t>
      </w:r>
    </w:p>
    <w:p>
      <w:pPr>
        <w:pStyle w:val="Normal"/>
      </w:pPr>
      <w:r>
        <w:t xml:space="preserve">they actually have can provide a picture of where these process violations may exist. </w:t>
      </w:r>
    </w:p>
    <w:p>
      <w:pPr>
        <w:pStyle w:val="Para 25"/>
      </w:pPr>
      <w:r>
        <w:t/>
      </w:r>
    </w:p>
    <w:p>
      <w:pPr>
        <w:pStyle w:val="Normal"/>
      </w:pPr>
      <w:r>
        <w:t xml:space="preserve">Software inventory can also tell you who is not playing by the rules. By comparing (manually or </w:t>
      </w:r>
    </w:p>
    <w:p>
      <w:pPr>
        <w:pStyle w:val="Normal"/>
      </w:pPr>
      <w:r>
        <w:t xml:space="preserve">programmatically) reports that show what has been assigned to a machine via your change </w:t>
      </w:r>
    </w:p>
    <w:p>
      <w:pPr>
        <w:pStyle w:val="Normal"/>
      </w:pPr>
      <w:r>
        <w:t xml:space="preserve">management process and reports that show what is actually installed, you may identify unmanaged software (for example, you can discover how many games are installed on your </w:t>
      </w:r>
    </w:p>
    <w:p>
      <w:pPr>
        <w:pStyle w:val="Normal"/>
      </w:pPr>
      <w:r>
        <w:t xml:space="preserve">network).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86" name="index-211_1.png" descr="index-211_1.png"/>
            <wp:cNvGraphicFramePr>
              <a:graphicFrameLocks noChangeAspect="1"/>
            </wp:cNvGraphicFramePr>
            <a:graphic>
              <a:graphicData uri="http://schemas.openxmlformats.org/drawingml/2006/picture">
                <pic:pic>
                  <pic:nvPicPr>
                    <pic:cNvPr id="0" name="index-211_1.png" descr="index-211_1.png"/>
                    <pic:cNvPicPr/>
                  </pic:nvPicPr>
                  <pic:blipFill>
                    <a:blip r:embed="rId490"/>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87" name="index-211_2.png" descr="index-211_2.png"/>
            <wp:cNvGraphicFramePr>
              <a:graphicFrameLocks noChangeAspect="1"/>
            </wp:cNvGraphicFramePr>
            <a:graphic>
              <a:graphicData uri="http://schemas.openxmlformats.org/drawingml/2006/picture">
                <pic:pic>
                  <pic:nvPicPr>
                    <pic:cNvPr id="0" name="index-211_2.png" descr="index-211_2.png"/>
                    <pic:cNvPicPr/>
                  </pic:nvPicPr>
                  <pic:blipFill>
                    <a:blip r:embed="rId491"/>
                    <a:stretch>
                      <a:fillRect/>
                    </a:stretch>
                  </pic:blipFill>
                  <pic:spPr>
                    <a:xfrm>
                      <a:off x="0" y="0"/>
                      <a:ext cx="914400" cy="444500"/>
                    </a:xfrm>
                    <a:prstGeom prst="rect">
                      <a:avLst/>
                    </a:prstGeom>
                  </pic:spPr>
                </pic:pic>
              </a:graphicData>
            </a:graphic>
          </wp:anchor>
        </w:drawing>
      </w:r>
    </w:p>
    <w:p>
      <w:pPr>
        <w:pStyle w:val="0 Block"/>
      </w:pPr>
    </w:p>
    <w:p>
      <w:bookmarkStart w:id="221" w:name="Chapter_8_12"/>
      <w:pPr>
        <w:pStyle w:val="Heading 1"/>
        <w:pageBreakBefore w:val="on"/>
      </w:pPr>
      <w:r>
        <w:t>Chapter 8</w:t>
      </w:r>
      <w:bookmarkEnd w:id="221"/>
    </w:p>
    <w:p>
      <w:pPr>
        <w:pStyle w:val="Para 25"/>
      </w:pPr>
      <w:r>
        <w:t/>
      </w:r>
    </w:p>
    <w:p>
      <w:pPr>
        <w:pStyle w:val="Para 07"/>
      </w:pPr>
      <w:r>
        <w:t xml:space="preserve">Software Inventory Tools </w:t>
      </w:r>
    </w:p>
    <w:p>
      <w:pPr>
        <w:pStyle w:val="Normal"/>
      </w:pPr>
      <w:r>
        <w:t xml:space="preserve">There are several software inventory tools available that offer many features. Some features to </w:t>
      </w:r>
    </w:p>
    <w:p>
      <w:pPr>
        <w:pStyle w:val="Normal"/>
      </w:pPr>
      <w:r>
        <w:t xml:space="preserve">watch out for include: </w:t>
      </w:r>
    </w:p>
    <w:p>
      <w:pPr>
        <w:pStyle w:val="Para 25"/>
      </w:pPr>
      <w:r>
        <w:t/>
      </w:r>
    </w:p>
    <w:p>
      <w:pPr>
        <w:pStyle w:val="Para 04"/>
      </w:pPr>
      <w:r>
        <w:t xml:space="preserve">• </w:t>
        <w:t xml:space="preserve">Web reports—for reporting, web reports have quickly be come the preferred method for </w:t>
      </w:r>
    </w:p>
    <w:p>
      <w:pPr>
        <w:pStyle w:val="Para 01"/>
      </w:pPr>
      <w:r>
        <w:t xml:space="preserve">many organizations. With web reports, no client software is required to view them and </w:t>
      </w:r>
    </w:p>
    <w:p>
      <w:pPr>
        <w:pStyle w:val="Para 01"/>
      </w:pPr>
      <w:r>
        <w:t xml:space="preserve">they may be easily shared or utilized on an existing corporate intranet. </w:t>
      </w:r>
    </w:p>
    <w:p>
      <w:pPr>
        <w:pStyle w:val="Para 25"/>
      </w:pPr>
      <w:r>
        <w:t/>
      </w:r>
    </w:p>
    <w:p>
      <w:pPr>
        <w:pStyle w:val="Para 04"/>
      </w:pPr>
      <w:r>
        <w:t xml:space="preserve">• Report access control—you may not want everyone to access these reports. Some </w:t>
      </w:r>
    </w:p>
    <w:p>
      <w:pPr>
        <w:pStyle w:val="Para 01"/>
      </w:pPr>
      <w:r>
        <w:t xml:space="preserve">inventory and usage tracking tools provide a means for users to see a report of their own </w:t>
      </w:r>
    </w:p>
    <w:p>
      <w:pPr>
        <w:pStyle w:val="Para 01"/>
      </w:pPr>
      <w:r>
        <w:t xml:space="preserve">system, but not that of others. When access is limited, learn how it is limited (group </w:t>
      </w:r>
    </w:p>
    <w:p>
      <w:pPr>
        <w:pStyle w:val="Para 01"/>
      </w:pPr>
      <w:r>
        <w:t xml:space="preserve">membership, account privileges, separate username and password, etc.) </w:t>
      </w:r>
    </w:p>
    <w:p>
      <w:pPr>
        <w:pStyle w:val="Para 25"/>
      </w:pPr>
      <w:r>
        <w:t/>
      </w:r>
    </w:p>
    <w:p>
      <w:pPr>
        <w:pStyle w:val="Para 04"/>
      </w:pPr>
      <w:r>
        <w:t xml:space="preserve">• Software requirements—some solutions do not require a client application to be </w:t>
      </w:r>
    </w:p>
    <w:p>
      <w:pPr>
        <w:pStyle w:val="Para 01"/>
      </w:pPr>
      <w:r>
        <w:t xml:space="preserve">deployed. If it does require a client service, what deployment mechanisms are offered by </w:t>
      </w:r>
    </w:p>
    <w:p>
      <w:pPr>
        <w:pStyle w:val="Para 01"/>
      </w:pPr>
      <w:r>
        <w:t xml:space="preserve">the vendor? </w:t>
      </w:r>
    </w:p>
    <w:p>
      <w:pPr>
        <w:pStyle w:val="Para 25"/>
      </w:pPr>
      <w:r>
        <w:t/>
      </w:r>
    </w:p>
    <w:p>
      <w:pPr>
        <w:pStyle w:val="Para 04"/>
      </w:pPr>
      <w:r>
        <w:t xml:space="preserve">• </w:t>
        <w:t xml:space="preserve">Assurance of licenses for key personnel—if the president of you company cannot launch </w:t>
      </w:r>
    </w:p>
    <w:p>
      <w:pPr>
        <w:pStyle w:val="Para 01"/>
      </w:pPr>
      <w:r>
        <w:t xml:space="preserve">his PowerPoint presentation, you do not want fingers pointed at you! </w:t>
      </w:r>
    </w:p>
    <w:p>
      <w:pPr>
        <w:pStyle w:val="Para 25"/>
      </w:pPr>
      <w:r>
        <w:t/>
      </w:r>
    </w:p>
    <w:p>
      <w:pPr>
        <w:pStyle w:val="Normal"/>
      </w:pPr>
      <w:r>
        <w:t xml:space="preserve">Table 8.2 provides more information about the features provided by some of the popular </w:t>
      </w:r>
    </w:p>
    <w:p>
      <w:pPr>
        <w:pStyle w:val="Normal"/>
      </w:pPr>
      <w:r>
        <w:t xml:space="preserve">software inventory and metering products (this table is not an all-inclusive list of </w:t>
      </w:r>
    </w:p>
    <w:p>
      <w:pPr>
        <w:pStyle w:val="Normal"/>
      </w:pPr>
      <w:r>
        <w:t>products).</w:t>
      </w:r>
    </w:p>
    <w:p>
      <w:pPr>
        <w:pStyle w:val="Para 25"/>
      </w:pPr>
      <w:r>
        <w:t/>
      </w:r>
    </w:p>
    <w:p>
      <w:pPr>
        <w:pStyle w:val="Para 18"/>
      </w:pPr>
      <w:r>
        <w:t xml:space="preserve">Company Product Software Hardware Active </w:t>
      </w:r>
      <w:r>
        <w:rPr>
          <w:rStyle w:val="Text5"/>
        </w:rPr>
        <w:t xml:space="preserve"> </w:t>
      </w:r>
      <w:r>
        <w:t xml:space="preserve">Passive </w:t>
      </w:r>
    </w:p>
    <w:p>
      <w:pPr>
        <w:pStyle w:val="Para 32"/>
      </w:pPr>
      <w:r>
        <w:t xml:space="preserve">Metering </w:t>
      </w:r>
      <w:r>
        <w:rPr>
          <w:rStyle w:val="Text5"/>
        </w:rPr>
        <w:t xml:space="preserve"> </w:t>
      </w:r>
      <w:r>
        <w:t xml:space="preserve">Metering </w:t>
      </w:r>
    </w:p>
    <w:p>
      <w:pPr>
        <w:pStyle w:val="Para 25"/>
      </w:pPr>
      <w:r>
        <w:t/>
      </w:r>
    </w:p>
    <w:p>
      <w:pPr>
        <w:pStyle w:val="Para 03"/>
      </w:pPr>
      <w:r>
        <w:t xml:space="preserve">ABC Systems </w:t>
      </w:r>
      <w:r>
        <w:rPr>
          <w:rStyle w:val="Text2"/>
        </w:rPr>
        <w:t xml:space="preserve"> </w:t>
      </w:r>
      <w:r>
        <w:t xml:space="preserve">LAN Licenser </w:t>
      </w:r>
      <w:r>
        <w:rPr>
          <w:rStyle w:val="Text2"/>
        </w:rPr>
        <w:t xml:space="preserve"> </w:t>
      </w:r>
      <w:r>
        <w:t xml:space="preserve">X </w:t>
      </w:r>
      <w:r>
        <w:rPr>
          <w:rStyle w:val="Text2"/>
        </w:rPr>
        <w:t xml:space="preserve"> </w:t>
      </w:r>
      <w:r>
        <w:t xml:space="preserve">X </w:t>
      </w:r>
    </w:p>
    <w:p>
      <w:pPr>
        <w:pStyle w:val="Para 03"/>
      </w:pPr>
      <w:r>
        <w:t xml:space="preserve">Alloy Software </w:t>
      </w:r>
      <w:r>
        <w:rPr>
          <w:rStyle w:val="Text2"/>
        </w:rPr>
        <w:t xml:space="preserve"> </w:t>
      </w:r>
      <w:r>
        <w:t xml:space="preserve">Network </w:t>
      </w:r>
      <w:r>
        <w:rPr>
          <w:rStyle w:val="Text2"/>
        </w:rPr>
        <w:t xml:space="preserve"> </w:t>
      </w:r>
      <w:r>
        <w:t xml:space="preserve">X X X </w:t>
      </w:r>
    </w:p>
    <w:p>
      <w:pPr>
        <w:pStyle w:val="Para 21"/>
      </w:pPr>
      <w:r>
        <w:t xml:space="preserve">Inventory </w:t>
      </w:r>
    </w:p>
    <w:p>
      <w:pPr>
        <w:pStyle w:val="Para 21"/>
      </w:pPr>
      <w:r>
        <w:t xml:space="preserve">Navigator </w:t>
      </w:r>
    </w:p>
    <w:p>
      <w:pPr>
        <w:pStyle w:val="Para 03"/>
      </w:pPr>
      <w:r>
        <w:t xml:space="preserve">Altiris </w:t>
      </w:r>
      <w:r>
        <w:rPr>
          <w:rStyle w:val="Text2"/>
        </w:rPr>
        <w:t xml:space="preserve"> </w:t>
      </w:r>
      <w:r>
        <w:t xml:space="preserve">Client </w:t>
      </w:r>
      <w:r>
        <w:rPr>
          <w:rStyle w:val="Text2"/>
        </w:rPr>
        <w:t xml:space="preserve"> </w:t>
      </w:r>
      <w:r>
        <w:t xml:space="preserve">X X X </w:t>
      </w:r>
    </w:p>
    <w:p>
      <w:pPr>
        <w:pStyle w:val="Para 21"/>
      </w:pPr>
      <w:r>
        <w:t xml:space="preserve">Management </w:t>
      </w:r>
    </w:p>
    <w:p>
      <w:pPr>
        <w:pStyle w:val="Para 21"/>
      </w:pPr>
      <w:r>
        <w:t xml:space="preserve">Suite </w:t>
      </w:r>
    </w:p>
    <w:p>
      <w:pPr>
        <w:pStyle w:val="Para 03"/>
      </w:pPr>
      <w:r>
        <w:t xml:space="preserve">Executive </w:t>
      </w:r>
      <w:r>
        <w:rPr>
          <w:rStyle w:val="Text2"/>
        </w:rPr>
        <w:t xml:space="preserve"> </w:t>
      </w:r>
      <w:r>
        <w:t xml:space="preserve">SiteKeeper </w:t>
        <w:t xml:space="preserve">X X </w:t>
        <w:t xml:space="preserve">Software </w:t>
      </w:r>
    </w:p>
    <w:p>
      <w:pPr>
        <w:pStyle w:val="Para 03"/>
      </w:pPr>
      <w:r>
        <w:t xml:space="preserve">Express Metrix Express </w:t>
      </w:r>
      <w:r>
        <w:rPr>
          <w:rStyle w:val="Text2"/>
        </w:rPr>
        <w:t xml:space="preserve"> </w:t>
      </w:r>
      <w:r>
        <w:t xml:space="preserve">X X X X </w:t>
      </w:r>
    </w:p>
    <w:p>
      <w:pPr>
        <w:pStyle w:val="Para 21"/>
      </w:pPr>
      <w:r>
        <w:t xml:space="preserve">Software </w:t>
      </w:r>
    </w:p>
    <w:p>
      <w:pPr>
        <w:pStyle w:val="Para 21"/>
      </w:pPr>
      <w:r>
        <w:t xml:space="preserve">Manager </w:t>
      </w:r>
    </w:p>
    <w:p>
      <w:pPr>
        <w:pStyle w:val="Para 03"/>
      </w:pPr>
      <w:r>
        <w:t xml:space="preserve">Globetrotter </w:t>
      </w:r>
      <w:r>
        <w:rPr>
          <w:rStyle w:val="Text2"/>
        </w:rPr>
        <w:t xml:space="preserve"> </w:t>
      </w:r>
      <w:r>
        <w:t xml:space="preserve">SAM </w:t>
        <w:t xml:space="preserve">wrap </w:t>
        <w:t xml:space="preserve">X X X* </w:t>
        <w:t xml:space="preserve">Software </w:t>
      </w:r>
    </w:p>
    <w:p>
      <w:pPr>
        <w:pStyle w:val="Para 03"/>
      </w:pPr>
      <w:r>
        <w:t xml:space="preserve">iInventory </w:t>
        <w:t xml:space="preserve">LAN </w:t>
        <w:t xml:space="preserve">auditor </w:t>
        <w:t xml:space="preserve">X X </w:t>
      </w:r>
    </w:p>
    <w:p>
      <w:pPr>
        <w:pStyle w:val="Para 03"/>
      </w:pPr>
      <w:r>
        <w:t xml:space="preserve">Integrity </w:t>
      </w:r>
      <w:r>
        <w:rPr>
          <w:rStyle w:val="Text2"/>
        </w:rPr>
        <w:t xml:space="preserve"> </w:t>
      </w:r>
      <w:r>
        <w:t xml:space="preserve">SoftTrack </w:t>
        <w:t xml:space="preserve">X X X </w:t>
        <w:t xml:space="preserve">Software </w:t>
      </w:r>
    </w:p>
    <w:p>
      <w:pPr>
        <w:pStyle w:val="Para 03"/>
      </w:pPr>
      <w:r>
        <w:t xml:space="preserve">Microsoft </w:t>
      </w:r>
      <w:r>
        <w:rPr>
          <w:rStyle w:val="Text2"/>
        </w:rPr>
        <w:t xml:space="preserve"> </w:t>
      </w:r>
      <w:r>
        <w:t xml:space="preserve">Systems </w:t>
      </w:r>
      <w:r>
        <w:rPr>
          <w:rStyle w:val="Text2"/>
        </w:rPr>
        <w:t xml:space="preserve"> </w:t>
      </w:r>
      <w:r>
        <w:t xml:space="preserve">X X X X </w:t>
      </w:r>
    </w:p>
    <w:p>
      <w:pPr>
        <w:pStyle w:val="Para 21"/>
      </w:pPr>
      <w:r>
        <w:t xml:space="preserve">Management </w:t>
      </w:r>
    </w:p>
    <w:p>
      <w:pPr>
        <w:pStyle w:val="Para 21"/>
      </w:pPr>
      <w:r>
        <w:t xml:space="preserve">Server </w:t>
      </w:r>
    </w:p>
    <w:p>
      <w:pPr>
        <w:pStyle w:val="Para 03"/>
      </w:pPr>
      <w:r>
        <w:t xml:space="preserve">NetSupport </w:t>
      </w:r>
      <w:r>
        <w:rPr>
          <w:rStyle w:val="Text2"/>
        </w:rPr>
        <w:t xml:space="preserve"> </w:t>
      </w:r>
      <w:r>
        <w:t xml:space="preserve">NetSupport </w:t>
      </w:r>
      <w:r>
        <w:rPr>
          <w:rStyle w:val="Text2"/>
        </w:rPr>
        <w:t xml:space="preserve"> </w:t>
      </w:r>
      <w:r>
        <w:t xml:space="preserve">X X X X </w:t>
      </w:r>
    </w:p>
    <w:p>
      <w:pPr>
        <w:pStyle w:val="Para 21"/>
      </w:pPr>
      <w:r>
        <w:t xml:space="preserve">TCO </w:t>
      </w:r>
    </w:p>
    <w:p>
      <w:pPr>
        <w:pStyle w:val="Para 03"/>
      </w:pPr>
      <w:r>
        <w:t xml:space="preserve">Sassafras </w:t>
      </w:r>
      <w:r>
        <w:rPr>
          <w:rStyle w:val="Text2"/>
        </w:rPr>
        <w:t xml:space="preserve"> </w:t>
      </w:r>
      <w:r>
        <w:t xml:space="preserve">KeyAuditor </w:t>
        <w:t xml:space="preserve">X X X X </w:t>
        <w:t xml:space="preserve">Software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88" name="index-212_1.png" descr="index-212_1.png"/>
            <wp:cNvGraphicFramePr>
              <a:graphicFrameLocks noChangeAspect="1"/>
            </wp:cNvGraphicFramePr>
            <a:graphic>
              <a:graphicData uri="http://schemas.openxmlformats.org/drawingml/2006/picture">
                <pic:pic>
                  <pic:nvPicPr>
                    <pic:cNvPr id="0" name="index-212_1.png" descr="index-212_1.png"/>
                    <pic:cNvPicPr/>
                  </pic:nvPicPr>
                  <pic:blipFill>
                    <a:blip r:embed="rId492"/>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89" name="index-212_2.png" descr="index-212_2.png"/>
            <wp:cNvGraphicFramePr>
              <a:graphicFrameLocks noChangeAspect="1"/>
            </wp:cNvGraphicFramePr>
            <a:graphic>
              <a:graphicData uri="http://schemas.openxmlformats.org/drawingml/2006/picture">
                <pic:pic>
                  <pic:nvPicPr>
                    <pic:cNvPr id="0" name="index-212_2.png" descr="index-212_2.png"/>
                    <pic:cNvPicPr/>
                  </pic:nvPicPr>
                  <pic:blipFill>
                    <a:blip r:embed="rId493"/>
                    <a:stretch>
                      <a:fillRect/>
                    </a:stretch>
                  </pic:blipFill>
                  <pic:spPr>
                    <a:xfrm>
                      <a:off x="0" y="0"/>
                      <a:ext cx="914400" cy="444500"/>
                    </a:xfrm>
                    <a:prstGeom prst="rect">
                      <a:avLst/>
                    </a:prstGeom>
                  </pic:spPr>
                </pic:pic>
              </a:graphicData>
            </a:graphic>
          </wp:anchor>
        </w:drawing>
      </w:r>
    </w:p>
    <w:p>
      <w:pPr>
        <w:pStyle w:val="0 Block"/>
      </w:pPr>
    </w:p>
    <w:p>
      <w:bookmarkStart w:id="222" w:name="Chapter_8_13"/>
      <w:pPr>
        <w:pStyle w:val="Heading 1"/>
        <w:pageBreakBefore w:val="on"/>
      </w:pPr>
      <w:r>
        <w:t>Chapter 8</w:t>
      </w:r>
      <w:bookmarkEnd w:id="222"/>
    </w:p>
    <w:p>
      <w:pPr>
        <w:pStyle w:val="Para 25"/>
      </w:pPr>
      <w:r>
        <w:t/>
      </w:r>
    </w:p>
    <w:p>
      <w:pPr>
        <w:pStyle w:val="Para 18"/>
      </w:pPr>
      <w:r>
        <w:t xml:space="preserve">Company Product Software Hardware Active </w:t>
      </w:r>
      <w:r>
        <w:rPr>
          <w:rStyle w:val="Text5"/>
        </w:rPr>
        <w:t xml:space="preserve"> </w:t>
      </w:r>
      <w:r>
        <w:t xml:space="preserve">Passive </w:t>
      </w:r>
    </w:p>
    <w:p>
      <w:pPr>
        <w:pStyle w:val="Para 32"/>
      </w:pPr>
      <w:r>
        <w:t xml:space="preserve">Metering </w:t>
      </w:r>
      <w:r>
        <w:rPr>
          <w:rStyle w:val="Text5"/>
        </w:rPr>
        <w:t xml:space="preserve"> </w:t>
      </w:r>
      <w:r>
        <w:t xml:space="preserve">Metering </w:t>
      </w:r>
    </w:p>
    <w:p>
      <w:pPr>
        <w:pStyle w:val="Para 03"/>
      </w:pPr>
      <w:r>
        <w:t xml:space="preserve">Scalable </w:t>
      </w:r>
      <w:r>
        <w:rPr>
          <w:rStyle w:val="Text2"/>
        </w:rPr>
        <w:t xml:space="preserve"> </w:t>
      </w:r>
      <w:r>
        <w:t xml:space="preserve">Survey </w:t>
        <w:t xml:space="preserve">Suite </w:t>
        <w:t xml:space="preserve">X X X </w:t>
        <w:t xml:space="preserve">Software </w:t>
      </w:r>
    </w:p>
    <w:p>
      <w:pPr>
        <w:pStyle w:val="Para 03"/>
      </w:pPr>
      <w:r>
        <w:t xml:space="preserve">Software </w:t>
      </w:r>
      <w:r>
        <w:rPr>
          <w:rStyle w:val="Text2"/>
        </w:rPr>
        <w:t xml:space="preserve"> </w:t>
      </w:r>
      <w:r>
        <w:t xml:space="preserve">SystemHound </w:t>
        <w:t xml:space="preserve">X X </w:t>
        <w:t xml:space="preserve">Innovations &amp; </w:t>
      </w:r>
    </w:p>
    <w:p>
      <w:pPr>
        <w:pStyle w:val="Para 03"/>
      </w:pPr>
      <w:r>
        <w:t xml:space="preserve">CPS </w:t>
      </w:r>
    </w:p>
    <w:p>
      <w:pPr>
        <w:pStyle w:val="Para 03"/>
      </w:pPr>
      <w:r>
        <w:t xml:space="preserve">Tally </w:t>
        <w:t xml:space="preserve">Systems </w:t>
        <w:t xml:space="preserve">TS.Census </w:t>
        <w:t xml:space="preserve">X X X* </w:t>
      </w:r>
    </w:p>
    <w:p>
      <w:pPr>
        <w:pStyle w:val="Para 03"/>
      </w:pPr>
      <w:r>
        <w:t xml:space="preserve">Tangram </w:t>
      </w:r>
      <w:r>
        <w:rPr>
          <w:rStyle w:val="Text2"/>
        </w:rPr>
        <w:t xml:space="preserve"> </w:t>
      </w:r>
      <w:r>
        <w:t xml:space="preserve">Asset </w:t>
        <w:t xml:space="preserve">Insight </w:t>
        <w:t xml:space="preserve">X X X X </w:t>
        <w:t xml:space="preserve">Enterprise </w:t>
      </w:r>
    </w:p>
    <w:p>
      <w:pPr>
        <w:pStyle w:val="Para 03"/>
      </w:pPr>
      <w:r>
        <w:t xml:space="preserve">Solutions </w:t>
      </w:r>
    </w:p>
    <w:p>
      <w:pPr>
        <w:pStyle w:val="Para 03"/>
      </w:pPr>
      <w:r>
        <w:t xml:space="preserve">Unipress </w:t>
      </w:r>
      <w:r>
        <w:rPr>
          <w:rStyle w:val="Text2"/>
        </w:rPr>
        <w:t xml:space="preserve"> </w:t>
      </w:r>
      <w:r>
        <w:t xml:space="preserve">FootPrints </w:t>
      </w:r>
      <w:r>
        <w:rPr>
          <w:rStyle w:val="Text2"/>
        </w:rPr>
        <w:t xml:space="preserve"> </w:t>
      </w:r>
      <w:r>
        <w:t xml:space="preserve">X X </w:t>
        <w:t xml:space="preserve">Software </w:t>
      </w:r>
      <w:r>
        <w:rPr>
          <w:rStyle w:val="Text2"/>
        </w:rPr>
        <w:t xml:space="preserve"> </w:t>
      </w:r>
      <w:r>
        <w:t xml:space="preserve">Asset </w:t>
      </w:r>
    </w:p>
    <w:p>
      <w:pPr>
        <w:pStyle w:val="Para 21"/>
      </w:pPr>
      <w:r>
        <w:t xml:space="preserve">Management </w:t>
      </w:r>
    </w:p>
    <w:p>
      <w:pPr>
        <w:pStyle w:val="Para 25"/>
      </w:pPr>
      <w:r>
        <w:t/>
      </w:r>
    </w:p>
    <w:p>
      <w:pPr>
        <w:pStyle w:val="Para 10"/>
      </w:pPr>
      <w:r>
        <w:t>Table 8.2: Software inventory and metering products (* = requires optional add-in or module).</w:t>
      </w:r>
    </w:p>
    <w:p>
      <w:pPr>
        <w:pStyle w:val="Para 25"/>
      </w:pPr>
      <w:r>
        <w:t/>
      </w:r>
    </w:p>
    <w:p>
      <w:pPr>
        <w:pStyle w:val="Para 07"/>
      </w:pPr>
      <w:r>
        <w:t xml:space="preserve">Software Inventory Methods </w:t>
      </w:r>
    </w:p>
    <w:p>
      <w:pPr>
        <w:pStyle w:val="Normal"/>
      </w:pPr>
      <w:r>
        <w:t xml:space="preserve">There are several methods that you can employ to determine which software is installed on a </w:t>
      </w:r>
    </w:p>
    <w:p>
      <w:pPr>
        <w:pStyle w:val="Normal"/>
      </w:pPr>
      <w:r>
        <w:t xml:space="preserve">system. Through COM, the WindowsInstaller object can report on not only what is installed, but </w:t>
      </w:r>
    </w:p>
    <w:p>
      <w:pPr>
        <w:pStyle w:val="Normal"/>
      </w:pPr>
      <w:r>
        <w:t xml:space="preserve">also the state of the installation itself. Listing 8.2 shows a KiXtart script that displays the installation state for each Windows Installer–managed application on the local system. </w:t>
      </w:r>
    </w:p>
    <w:p>
      <w:pPr>
        <w:pStyle w:val="Para 25"/>
      </w:pPr>
      <w:r>
        <w:t/>
      </w:r>
    </w:p>
    <w:p>
      <w:pPr>
        <w:pStyle w:val="Para 02"/>
      </w:pPr>
      <w:r>
        <w:t xml:space="preserve">For more information about the ProductState property of the WindowsInstaller object, check out </w:t>
      </w:r>
    </w:p>
    <w:p>
      <w:pPr>
        <w:pStyle w:val="Para 02"/>
      </w:pPr>
      <w:r>
        <w:t>http://msdn.microsoft.com/library/en-us/msi/setup/installer_productstate_property.asp</w:t>
        <w:t xml:space="preserve">. </w:t>
      </w:r>
    </w:p>
    <w:p>
      <w:pPr>
        <w:pStyle w:val="Para 25"/>
      </w:pPr>
      <w:r>
        <w:t/>
      </w:r>
    </w:p>
    <w:p>
      <w:pPr>
        <w:pStyle w:val="Para 03"/>
      </w:pPr>
      <w:r>
        <w:t xml:space="preserve">$MSI = CreateObject("WindowsInstaller.Installer") </w:t>
        <w:t xml:space="preserve">$Products = $MSI.Products </w:t>
      </w:r>
    </w:p>
    <w:p>
      <w:pPr>
        <w:pStyle w:val="Para 03"/>
      </w:pPr>
      <w:r>
        <w:t xml:space="preserve">For Each $Product In $Products </w:t>
      </w:r>
    </w:p>
    <w:p>
      <w:pPr>
        <w:pStyle w:val="Para 03"/>
      </w:pPr>
      <w:r>
        <w:t xml:space="preserve"> $StateVal = $MSI.ProductState($Product, "ProductName") </w:t>
        <w:t xml:space="preserve"> Select </w:t>
      </w:r>
    </w:p>
    <w:p>
      <w:pPr>
        <w:pStyle w:val="Para 03"/>
      </w:pPr>
      <w:r>
        <w:t xml:space="preserve"> Case $StateVal = 0 $StateTxt = "Broken" </w:t>
      </w:r>
    </w:p>
    <w:p>
      <w:pPr>
        <w:pStyle w:val="Para 03"/>
      </w:pPr>
      <w:r>
        <w:t xml:space="preserve"> Case $StateVal = 1 $StateTxt = "Advertised or Removed" </w:t>
        <w:t xml:space="preserve"> Case $StateVal = 2 $StateTxt = "Absent" </w:t>
      </w:r>
    </w:p>
    <w:p>
      <w:pPr>
        <w:pStyle w:val="Para 03"/>
      </w:pPr>
      <w:r>
        <w:t xml:space="preserve"> Case $StateVal = 3 $StateTxt = "Local" </w:t>
      </w:r>
    </w:p>
    <w:p>
      <w:pPr>
        <w:pStyle w:val="Para 03"/>
      </w:pPr>
      <w:r>
        <w:t xml:space="preserve"> Case $StateVal = 4 $StateTxt = "Source" </w:t>
      </w:r>
    </w:p>
    <w:p>
      <w:pPr>
        <w:pStyle w:val="Para 03"/>
      </w:pPr>
      <w:r>
        <w:t xml:space="preserve"> Case $StateVal = 5 $StateTxt = "Default" </w:t>
      </w:r>
    </w:p>
    <w:p>
      <w:pPr>
        <w:pStyle w:val="Para 03"/>
      </w:pPr>
      <w:r>
        <w:t xml:space="preserve"> Case $StateVal = -1 $StateTxt = "Unknown" </w:t>
      </w:r>
    </w:p>
    <w:p>
      <w:pPr>
        <w:pStyle w:val="Para 03"/>
      </w:pPr>
      <w:r>
        <w:t xml:space="preserve"> Case $StateVal = -2 $StateTxt = "Invalid Argument" </w:t>
        <w:t xml:space="preserve"> Case $StateVal = -4 $StateTxt = "Source Absent" </w:t>
        <w:t xml:space="preserve"> Case $StateVal = -5 $StateTxt = "Incomplete" </w:t>
        <w:t xml:space="preserve"> Case $StateVal = -6 $StateTxt = "Bad Configuration" </w:t>
        <w:t xml:space="preserve"> Case $StateVal = -7 $StateTxt = "Not Used" </w:t>
      </w:r>
    </w:p>
    <w:p>
      <w:pPr>
        <w:pStyle w:val="Para 03"/>
      </w:pPr>
      <w:r>
        <w:t xml:space="preserve"> EndSelect </w:t>
      </w:r>
    </w:p>
    <w:p>
      <w:pPr>
        <w:pStyle w:val="Para 03"/>
      </w:pPr>
      <w:r>
        <w:t xml:space="preserve"> ? $MSI.ProductInfo($Product, "ProductName") + " is " + $StateTxt </w:t>
        <w:t xml:space="preserve">Next </w:t>
      </w:r>
    </w:p>
    <w:p>
      <w:pPr>
        <w:pStyle w:val="Para 25"/>
      </w:pPr>
      <w:r>
        <w:t/>
      </w:r>
    </w:p>
    <w:p>
      <w:pPr>
        <w:pStyle w:val="Para 10"/>
      </w:pPr>
      <w:r>
        <w:t xml:space="preserve">Listing 8.2: An example KiXtart script that displays the installation state for each Windows Installer–managed </w:t>
        <w:t xml:space="preserve">application on the local system.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90" name="index-213_1.png" descr="index-213_1.png"/>
            <wp:cNvGraphicFramePr>
              <a:graphicFrameLocks noChangeAspect="1"/>
            </wp:cNvGraphicFramePr>
            <a:graphic>
              <a:graphicData uri="http://schemas.openxmlformats.org/drawingml/2006/picture">
                <pic:pic>
                  <pic:nvPicPr>
                    <pic:cNvPr id="0" name="index-213_1.png" descr="index-213_1.png"/>
                    <pic:cNvPicPr/>
                  </pic:nvPicPr>
                  <pic:blipFill>
                    <a:blip r:embed="rId494"/>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91" name="index-213_2.png" descr="index-213_2.png"/>
            <wp:cNvGraphicFramePr>
              <a:graphicFrameLocks noChangeAspect="1"/>
            </wp:cNvGraphicFramePr>
            <a:graphic>
              <a:graphicData uri="http://schemas.openxmlformats.org/drawingml/2006/picture">
                <pic:pic>
                  <pic:nvPicPr>
                    <pic:cNvPr id="0" name="index-213_2.png" descr="index-213_2.png"/>
                    <pic:cNvPicPr/>
                  </pic:nvPicPr>
                  <pic:blipFill>
                    <a:blip r:embed="rId495"/>
                    <a:stretch>
                      <a:fillRect/>
                    </a:stretch>
                  </pic:blipFill>
                  <pic:spPr>
                    <a:xfrm>
                      <a:off x="0" y="0"/>
                      <a:ext cx="914400" cy="444500"/>
                    </a:xfrm>
                    <a:prstGeom prst="rect">
                      <a:avLst/>
                    </a:prstGeom>
                  </pic:spPr>
                </pic:pic>
              </a:graphicData>
            </a:graphic>
          </wp:anchor>
        </w:drawing>
      </w:r>
    </w:p>
    <w:p>
      <w:pPr>
        <w:pStyle w:val="0 Block"/>
      </w:pPr>
    </w:p>
    <w:p>
      <w:bookmarkStart w:id="223" w:name="Chapter_8_14"/>
      <w:pPr>
        <w:pStyle w:val="Heading 1"/>
        <w:pageBreakBefore w:val="on"/>
      </w:pPr>
      <w:r>
        <w:t>Chapter 8</w:t>
      </w:r>
      <w:bookmarkEnd w:id="223"/>
    </w:p>
    <w:p>
      <w:pPr>
        <w:pStyle w:val="Para 25"/>
      </w:pPr>
      <w:r>
        <w:t/>
      </w:r>
    </w:p>
    <w:p>
      <w:pPr>
        <w:pStyle w:val="Normal"/>
      </w:pPr>
      <w:r>
        <w:t xml:space="preserve">Because the Windows Installer method will only report those applications managed by the </w:t>
      </w:r>
    </w:p>
    <w:p>
      <w:pPr>
        <w:pStyle w:val="Normal"/>
      </w:pPr>
      <w:r>
        <w:t xml:space="preserve">Windows Installer service, scanning the target system for files is a more thorough means of </w:t>
      </w:r>
    </w:p>
    <w:p>
      <w:pPr>
        <w:pStyle w:val="Normal"/>
      </w:pPr>
      <w:r>
        <w:t xml:space="preserve">determining which software is present. This scan can be a time-consuming process, but can be very accurate. Some inventory products scan the file system and compare it with a proprietary </w:t>
      </w:r>
    </w:p>
    <w:p>
      <w:pPr>
        <w:pStyle w:val="Normal"/>
      </w:pPr>
      <w:r>
        <w:t xml:space="preserve">database that identifies the installed software. Other solutions enumerate the files of the OS and </w:t>
      </w:r>
    </w:p>
    <w:p>
      <w:pPr>
        <w:pStyle w:val="Normal"/>
      </w:pPr>
      <w:r>
        <w:t xml:space="preserve">examine their properties for information (see Figure 8.4) and some may use a combination of these two methods. </w:t>
      </w:r>
    </w:p>
    <w:p>
      <w:pPr>
        <w:pStyle w:val="Para 25"/>
      </w:pPr>
      <w:r>
        <w:t/>
      </w:r>
    </w:p>
    <w:p>
      <w:pPr>
        <w:pStyle w:val="Normal"/>
      </w:pPr>
      <w:r>
        <w:t xml:space="preserve">Using KiXtart’s GetFileVersion function, you can obtain the informational data for any specified </w:t>
      </w:r>
    </w:p>
    <w:p>
      <w:pPr>
        <w:pStyle w:val="Normal"/>
      </w:pPr>
      <w:r>
        <w:t xml:space="preserve">file. When present, the following file properties can be returned. Keep in mind that all, some, or </w:t>
      </w:r>
    </w:p>
    <w:p>
      <w:pPr>
        <w:pStyle w:val="Normal"/>
      </w:pPr>
      <w:r>
        <w:t xml:space="preserve">none of the file version information may be present for any given file. The following descriptions represent the intended use for each possible field; however, the developer is free to include any </w:t>
      </w:r>
    </w:p>
    <w:p>
      <w:pPr>
        <w:pStyle w:val="Normal"/>
      </w:pPr>
      <w:r>
        <w:t xml:space="preserve">information desired. It is this same process that some software inventory products utilize to </w:t>
      </w:r>
    </w:p>
    <w:p>
      <w:pPr>
        <w:pStyle w:val="Normal"/>
      </w:pPr>
      <w:r>
        <w:t xml:space="preserve">identify files: </w:t>
      </w:r>
    </w:p>
    <w:p>
      <w:pPr>
        <w:pStyle w:val="Para 25"/>
      </w:pPr>
      <w:r>
        <w:t/>
      </w:r>
    </w:p>
    <w:p>
      <w:pPr>
        <w:pStyle w:val="Para 04"/>
      </w:pPr>
      <w:r>
        <w:t xml:space="preserve">• </w:t>
        <w:t xml:space="preserve">Comments—Returns any specified comments for the file. This property is usually used to </w:t>
      </w:r>
    </w:p>
    <w:p>
      <w:pPr>
        <w:pStyle w:val="Para 01"/>
      </w:pPr>
      <w:r>
        <w:t xml:space="preserve">provide additional information that can be displayed for diagnostic purposes. </w:t>
      </w:r>
    </w:p>
    <w:p>
      <w:pPr>
        <w:pStyle w:val="Para 25"/>
      </w:pPr>
      <w:r>
        <w:t/>
      </w:r>
    </w:p>
    <w:p>
      <w:pPr>
        <w:pStyle w:val="Para 04"/>
      </w:pPr>
      <w:r>
        <w:t xml:space="preserve">• CompanyName—Returns the name of the company that produced the file. </w:t>
      </w:r>
    </w:p>
    <w:p>
      <w:pPr>
        <w:pStyle w:val="Para 25"/>
      </w:pPr>
      <w:r>
        <w:t/>
      </w:r>
    </w:p>
    <w:p>
      <w:pPr>
        <w:pStyle w:val="Para 04"/>
      </w:pPr>
      <w:r>
        <w:t xml:space="preserve">• </w:t>
        <w:t xml:space="preserve">FileDescription—Returns a string used to describe the file. This string may be used to </w:t>
      </w:r>
    </w:p>
    <w:p>
      <w:pPr>
        <w:pStyle w:val="Para 01"/>
      </w:pPr>
      <w:r>
        <w:t xml:space="preserve">dynamically produce a description along with (or in place of) the associated file name, </w:t>
      </w:r>
    </w:p>
    <w:p>
      <w:pPr>
        <w:pStyle w:val="Para 01"/>
      </w:pPr>
      <w:r>
        <w:t xml:space="preserve">which can sometimes be difficult to interpret. Unfortunately, this field is not commonly used. </w:t>
      </w:r>
    </w:p>
    <w:p>
      <w:pPr>
        <w:pStyle w:val="Para 25"/>
      </w:pPr>
      <w:r>
        <w:t/>
      </w:r>
    </w:p>
    <w:p>
      <w:pPr>
        <w:pStyle w:val="Para 04"/>
      </w:pPr>
      <w:r>
        <w:t xml:space="preserve">• FileVersion—Returns the version of the file. </w:t>
      </w:r>
    </w:p>
    <w:p>
      <w:pPr>
        <w:pStyle w:val="Para 25"/>
      </w:pPr>
      <w:r>
        <w:t/>
      </w:r>
    </w:p>
    <w:p>
      <w:pPr>
        <w:pStyle w:val="Para 04"/>
      </w:pPr>
      <w:r>
        <w:t xml:space="preserve">• </w:t>
        <w:t xml:space="preserve">InternalName—Returns the file’s internal name, if one exists. For example, this string </w:t>
      </w:r>
    </w:p>
    <w:p>
      <w:pPr>
        <w:pStyle w:val="Para 01"/>
      </w:pPr>
      <w:r>
        <w:t xml:space="preserve">might contain the module name for a Dynamic Link Library (DLL), a virtual device </w:t>
      </w:r>
    </w:p>
    <w:p>
      <w:pPr>
        <w:pStyle w:val="Para 01"/>
      </w:pPr>
      <w:r>
        <w:t xml:space="preserve">name for a Windows virtual device, or a device name for an MS-DOS device driver. </w:t>
      </w:r>
    </w:p>
    <w:p>
      <w:pPr>
        <w:pStyle w:val="Para 25"/>
      </w:pPr>
      <w:r>
        <w:t/>
      </w:r>
    </w:p>
    <w:p>
      <w:pPr>
        <w:pStyle w:val="Para 04"/>
      </w:pPr>
      <w:r>
        <w:t xml:space="preserve">• Language—Returns the full English name for the file’s language. </w:t>
      </w:r>
    </w:p>
    <w:p>
      <w:pPr>
        <w:pStyle w:val="Para 25"/>
      </w:pPr>
      <w:r>
        <w:t/>
      </w:r>
    </w:p>
    <w:p>
      <w:pPr>
        <w:pStyle w:val="Para 04"/>
      </w:pPr>
      <w:r>
        <w:t xml:space="preserve">• LegalCopyright—Returns all listed copyright notices, trademarks, and registered </w:t>
      </w:r>
    </w:p>
    <w:p>
      <w:pPr>
        <w:pStyle w:val="Para 01"/>
      </w:pPr>
      <w:r>
        <w:t xml:space="preserve">trademarks that apply to the file. This property may include the full text of all notices, </w:t>
      </w:r>
    </w:p>
    <w:p>
      <w:pPr>
        <w:pStyle w:val="Para 01"/>
      </w:pPr>
      <w:r>
        <w:t xml:space="preserve">legal symbols, copyright dates, trademark numbers, and other copyright information. </w:t>
      </w:r>
    </w:p>
    <w:p>
      <w:pPr>
        <w:pStyle w:val="Para 25"/>
      </w:pPr>
      <w:r>
        <w:t/>
      </w:r>
    </w:p>
    <w:p>
      <w:pPr>
        <w:pStyle w:val="Para 04"/>
      </w:pPr>
      <w:r>
        <w:t xml:space="preserve">• </w:t>
        <w:t xml:space="preserve">LegalTrademarks—Returns all trademarks and registered trademarks that apply to the </w:t>
      </w:r>
    </w:p>
    <w:p>
      <w:pPr>
        <w:pStyle w:val="Para 01"/>
      </w:pPr>
      <w:r>
        <w:t xml:space="preserve">file. This property may include the full text of all notices, legal symbols, trademark </w:t>
      </w:r>
    </w:p>
    <w:p>
      <w:pPr>
        <w:pStyle w:val="Para 01"/>
      </w:pPr>
      <w:r>
        <w:t xml:space="preserve">numbers, and other trademark information. </w:t>
      </w:r>
    </w:p>
    <w:p>
      <w:pPr>
        <w:pStyle w:val="Para 25"/>
      </w:pPr>
      <w:r>
        <w:t/>
      </w:r>
    </w:p>
    <w:p>
      <w:pPr>
        <w:pStyle w:val="Para 04"/>
      </w:pPr>
      <w:r>
        <w:t xml:space="preserve">• OriginalFilename—Returns the original name of the file, not including a path. This </w:t>
      </w:r>
    </w:p>
    <w:p>
      <w:pPr>
        <w:pStyle w:val="Para 01"/>
      </w:pPr>
      <w:r>
        <w:t xml:space="preserve">property can be used to determine whether a file has been renamed from its original file </w:t>
      </w:r>
    </w:p>
    <w:p>
      <w:pPr>
        <w:pStyle w:val="Para 01"/>
      </w:pPr>
      <w:r>
        <w:t xml:space="preserve">name. If the file is specific to a non-FAT file system, this name might not be in the </w:t>
      </w:r>
    </w:p>
    <w:p>
      <w:pPr>
        <w:pStyle w:val="Para 01"/>
      </w:pPr>
      <w:r>
        <w:t xml:space="preserve">standard MS-DOS 8.3 naming format. </w:t>
      </w:r>
    </w:p>
    <w:p>
      <w:pPr>
        <w:pStyle w:val="Para 25"/>
      </w:pPr>
      <w:r>
        <w:t/>
      </w:r>
    </w:p>
    <w:p>
      <w:pPr>
        <w:pStyle w:val="Para 04"/>
      </w:pPr>
      <w:r>
        <w:t xml:space="preserve">• </w:t>
        <w:t xml:space="preserve">PrivateBuild—Returns by whom, from where, and why this private version of the file </w:t>
      </w:r>
    </w:p>
    <w:p>
      <w:pPr>
        <w:pStyle w:val="Para 01"/>
      </w:pPr>
      <w:r>
        <w:t xml:space="preserve">was built. </w:t>
      </w:r>
    </w:p>
    <w:p>
      <w:pPr>
        <w:pStyle w:val="Para 25"/>
      </w:pPr>
      <w:r>
        <w:t/>
      </w:r>
    </w:p>
    <w:p>
      <w:pPr>
        <w:pStyle w:val="Para 04"/>
      </w:pPr>
      <w:r>
        <w:t xml:space="preserve">• ProductName—Returns the name of the product with which this file is distributed. </w:t>
      </w:r>
    </w:p>
    <w:p>
      <w:pPr>
        <w:pStyle w:val="Para 25"/>
      </w:pPr>
      <w:r>
        <w:t/>
      </w:r>
    </w:p>
    <w:p>
      <w:pPr>
        <w:pStyle w:val="Para 04"/>
      </w:pPr>
      <w:r>
        <w:t xml:space="preserve">• </w:t>
        <w:t xml:space="preserve">ProductVersion—Returns the version of the product with which this file is distributed. </w:t>
      </w:r>
    </w:p>
    <w:p>
      <w:pPr>
        <w:pStyle w:val="Para 25"/>
      </w:pPr>
      <w:r>
        <w:t/>
      </w:r>
    </w:p>
    <w:p>
      <w:pPr>
        <w:pStyle w:val="Para 04"/>
      </w:pPr>
      <w:r>
        <w:t xml:space="preserve">• SpecialBuild—Returns how this version of the file differs from the normal version.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92" name="index-214_1.png" descr="index-214_1.png"/>
            <wp:cNvGraphicFramePr>
              <a:graphicFrameLocks noChangeAspect="1"/>
            </wp:cNvGraphicFramePr>
            <a:graphic>
              <a:graphicData uri="http://schemas.openxmlformats.org/drawingml/2006/picture">
                <pic:pic>
                  <pic:nvPicPr>
                    <pic:cNvPr id="0" name="index-214_1.png" descr="index-214_1.png"/>
                    <pic:cNvPicPr/>
                  </pic:nvPicPr>
                  <pic:blipFill>
                    <a:blip r:embed="rId496"/>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93" name="index-214_2.png" descr="index-214_2.png"/>
            <wp:cNvGraphicFramePr>
              <a:graphicFrameLocks noChangeAspect="1"/>
            </wp:cNvGraphicFramePr>
            <a:graphic>
              <a:graphicData uri="http://schemas.openxmlformats.org/drawingml/2006/picture">
                <pic:pic>
                  <pic:nvPicPr>
                    <pic:cNvPr id="0" name="index-214_2.png" descr="index-214_2.png"/>
                    <pic:cNvPicPr/>
                  </pic:nvPicPr>
                  <pic:blipFill>
                    <a:blip r:embed="rId497"/>
                    <a:stretch>
                      <a:fillRect/>
                    </a:stretch>
                  </pic:blipFill>
                  <pic:spPr>
                    <a:xfrm>
                      <a:off x="0" y="0"/>
                      <a:ext cx="914400" cy="444500"/>
                    </a:xfrm>
                    <a:prstGeom prst="rect">
                      <a:avLst/>
                    </a:prstGeom>
                  </pic:spPr>
                </pic:pic>
              </a:graphicData>
            </a:graphic>
          </wp:anchor>
        </w:drawing>
      </w:r>
    </w:p>
    <w:p>
      <w:pPr>
        <w:pStyle w:val="0 Block"/>
      </w:pPr>
    </w:p>
    <w:p>
      <w:bookmarkStart w:id="224" w:name="Chapter_8_15"/>
      <w:pPr>
        <w:pStyle w:val="Heading 1"/>
        <w:pageBreakBefore w:val="on"/>
      </w:pPr>
      <w:r>
        <w:t>Chapter 8</w:t>
      </w:r>
      <w:bookmarkEnd w:id="22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35200" cy="3098800"/>
            <wp:effectExtent l="0" r="0" t="0" b="0"/>
            <wp:wrapTopAndBottom/>
            <wp:docPr id="494" name="index-215_1.png" descr="index-215_1.png"/>
            <wp:cNvGraphicFramePr>
              <a:graphicFrameLocks noChangeAspect="1"/>
            </wp:cNvGraphicFramePr>
            <a:graphic>
              <a:graphicData uri="http://schemas.openxmlformats.org/drawingml/2006/picture">
                <pic:pic>
                  <pic:nvPicPr>
                    <pic:cNvPr id="0" name="index-215_1.png" descr="index-215_1.png"/>
                    <pic:cNvPicPr/>
                  </pic:nvPicPr>
                  <pic:blipFill>
                    <a:blip r:embed="rId498"/>
                    <a:stretch>
                      <a:fillRect/>
                    </a:stretch>
                  </pic:blipFill>
                  <pic:spPr>
                    <a:xfrm>
                      <a:off x="0" y="0"/>
                      <a:ext cx="2235200" cy="3098800"/>
                    </a:xfrm>
                    <a:prstGeom prst="rect">
                      <a:avLst/>
                    </a:prstGeom>
                  </pic:spPr>
                </pic:pic>
              </a:graphicData>
            </a:graphic>
          </wp:anchor>
        </w:drawing>
      </w:r>
    </w:p>
    <w:p>
      <w:pPr>
        <w:pStyle w:val="Para 25"/>
      </w:pPr>
      <w:r>
        <w:t/>
      </w:r>
    </w:p>
    <w:p>
      <w:pPr>
        <w:pStyle w:val="Para 31"/>
      </w:pPr>
      <w:r>
        <w:t xml:space="preserve"> </w:t>
      </w:r>
    </w:p>
    <w:p>
      <w:pPr>
        <w:pStyle w:val="Para 25"/>
      </w:pPr>
      <w:r>
        <w:t/>
      </w:r>
    </w:p>
    <w:p>
      <w:pPr>
        <w:pStyle w:val="Para 10"/>
      </w:pPr>
      <w:r>
        <w:t xml:space="preserve">Figure 8.4: File properties displayed for Microsoft Media Player. </w:t>
      </w:r>
    </w:p>
    <w:p>
      <w:pPr>
        <w:pStyle w:val="Para 25"/>
      </w:pPr>
      <w:r>
        <w:t/>
      </w:r>
    </w:p>
    <w:p>
      <w:pPr>
        <w:pStyle w:val="Para 02"/>
      </w:pPr>
      <w:r>
        <w:t xml:space="preserve">By examining the OriginalFileName property, inventory solutions can identify files that may have been </w:t>
      </w:r>
    </w:p>
    <w:p>
      <w:pPr>
        <w:pStyle w:val="Para 02"/>
      </w:pPr>
      <w:r>
        <w:t xml:space="preserve">renamed by a user in order to hide them. </w:t>
      </w:r>
    </w:p>
    <w:p>
      <w:pPr>
        <w:pStyle w:val="Para 25"/>
      </w:pPr>
      <w:r>
        <w:t/>
      </w:r>
    </w:p>
    <w:p>
      <w:pPr>
        <w:pStyle w:val="Normal"/>
      </w:pPr>
      <w:r>
        <w:t xml:space="preserve">Another software inventory method is to use the Add/Remove Programs Control Panel applet, which lists the software installed on a machine that support an uninstall process. This list </w:t>
      </w:r>
    </w:p>
    <w:p>
      <w:pPr>
        <w:pStyle w:val="Normal"/>
      </w:pPr>
      <w:r>
        <w:t xml:space="preserve">accounts for a great percentage of the software you are likely to have in your environment. By </w:t>
      </w:r>
    </w:p>
    <w:p>
      <w:pPr>
        <w:pStyle w:val="Normal"/>
      </w:pPr>
      <w:r>
        <w:t xml:space="preserve">reading the values used by the Add/Remove Programs applet in the Uninstall key of the registry, you can obtain the names of each application installed on a system (and in many cases, much </w:t>
      </w:r>
    </w:p>
    <w:p>
      <w:pPr>
        <w:pStyle w:val="Normal"/>
      </w:pPr>
      <w:r>
        <w:t xml:space="preserve">more). </w:t>
      </w:r>
    </w:p>
    <w:p>
      <w:pPr>
        <w:pStyle w:val="Para 25"/>
      </w:pPr>
      <w:r>
        <w:t/>
      </w:r>
    </w:p>
    <w:p>
      <w:pPr>
        <w:pStyle w:val="Para 02"/>
      </w:pPr>
      <w:r>
        <w:t xml:space="preserve">See Chapter 7 for more information and sample scripts.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95" name="index-215_2.png" descr="index-215_2.png"/>
            <wp:cNvGraphicFramePr>
              <a:graphicFrameLocks noChangeAspect="1"/>
            </wp:cNvGraphicFramePr>
            <a:graphic>
              <a:graphicData uri="http://schemas.openxmlformats.org/drawingml/2006/picture">
                <pic:pic>
                  <pic:nvPicPr>
                    <pic:cNvPr id="0" name="index-215_2.png" descr="index-215_2.png"/>
                    <pic:cNvPicPr/>
                  </pic:nvPicPr>
                  <pic:blipFill>
                    <a:blip r:embed="rId499"/>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96" name="index-215_3.png" descr="index-215_3.png"/>
            <wp:cNvGraphicFramePr>
              <a:graphicFrameLocks noChangeAspect="1"/>
            </wp:cNvGraphicFramePr>
            <a:graphic>
              <a:graphicData uri="http://schemas.openxmlformats.org/drawingml/2006/picture">
                <pic:pic>
                  <pic:nvPicPr>
                    <pic:cNvPr id="0" name="index-215_3.png" descr="index-215_3.png"/>
                    <pic:cNvPicPr/>
                  </pic:nvPicPr>
                  <pic:blipFill>
                    <a:blip r:embed="rId500"/>
                    <a:stretch>
                      <a:fillRect/>
                    </a:stretch>
                  </pic:blipFill>
                  <pic:spPr>
                    <a:xfrm>
                      <a:off x="0" y="0"/>
                      <a:ext cx="914400" cy="444500"/>
                    </a:xfrm>
                    <a:prstGeom prst="rect">
                      <a:avLst/>
                    </a:prstGeom>
                  </pic:spPr>
                </pic:pic>
              </a:graphicData>
            </a:graphic>
          </wp:anchor>
        </w:drawing>
      </w:r>
    </w:p>
    <w:p>
      <w:pPr>
        <w:pStyle w:val="0 Block"/>
      </w:pPr>
    </w:p>
    <w:p>
      <w:bookmarkStart w:id="225" w:name="Chapter_8_16"/>
      <w:pPr>
        <w:pStyle w:val="Heading 1"/>
        <w:pageBreakBefore w:val="on"/>
      </w:pPr>
      <w:r>
        <w:t>Chapter 8</w:t>
      </w:r>
      <w:bookmarkEnd w:id="225"/>
    </w:p>
    <w:p>
      <w:pPr>
        <w:pStyle w:val="Para 25"/>
      </w:pPr>
      <w:r>
        <w:t/>
      </w:r>
    </w:p>
    <w:p>
      <w:pPr>
        <w:pStyle w:val="Para 12"/>
      </w:pPr>
      <w:r>
        <w:t xml:space="preserve">Change Management </w:t>
      </w:r>
    </w:p>
    <w:p>
      <w:pPr>
        <w:pStyle w:val="Para 25"/>
      </w:pPr>
      <w:r>
        <w:t/>
      </w:r>
    </w:p>
    <w:p>
      <w:pPr>
        <w:pStyle w:val="Normal"/>
      </w:pPr>
      <w:r>
        <w:t xml:space="preserve">In Chapter 2, we discussed establishing and deploying your initial baseline configuration. In </w:t>
      </w:r>
    </w:p>
    <w:p>
      <w:pPr>
        <w:pStyle w:val="0 Block"/>
      </w:pPr>
    </w:p>
    <w:p>
      <w:bookmarkStart w:id="226" w:name="Chapter_4__we_discussed_deployin"/>
      <w:pPr>
        <w:pStyle w:val="Para 35"/>
        <w:pageBreakBefore w:val="on"/>
      </w:pPr>
      <w:r>
        <w:t xml:space="preserve">Chapter 4, we discussed deploying software and updates to those systems. Remember that all the </w:t>
      </w:r>
      <w:bookmarkEnd w:id="226"/>
    </w:p>
    <w:p>
      <w:pPr>
        <w:pStyle w:val="Normal"/>
      </w:pPr>
      <w:r>
        <w:t xml:space="preserve">benefits of a baseline are quickly lost if you don’t manage the changes that must occur throughout a system’s </w:t>
      </w:r>
      <w:r>
        <w:rPr>
          <w:rStyle w:val="Text0"/>
        </w:rPr>
        <w:t>life cycle</w:t>
      </w:r>
      <w:r>
        <w:t xml:space="preserve">. A system’s life cycle covers its planned deployment, </w:t>
      </w:r>
    </w:p>
    <w:p>
      <w:pPr>
        <w:pStyle w:val="Normal"/>
      </w:pPr>
      <w:r>
        <w:t xml:space="preserve">maintenance, and eventual replacement. </w:t>
      </w:r>
    </w:p>
    <w:p>
      <w:pPr>
        <w:pStyle w:val="Para 25"/>
      </w:pPr>
      <w:r>
        <w:t/>
      </w:r>
    </w:p>
    <w:p>
      <w:pPr>
        <w:pStyle w:val="Normal"/>
      </w:pPr>
      <w:r>
        <w:t xml:space="preserve">Suppose you have just rolled out the best documented, well-tested, and rock-solid baseline ever </w:t>
      </w:r>
    </w:p>
    <w:p>
      <w:pPr>
        <w:pStyle w:val="Normal"/>
      </w:pPr>
      <w:r>
        <w:t xml:space="preserve">conceived. Thinking that it can stay that way very long is a big mistake. You must plan for the inevitable changes that will follow. First, let’s discuss some of the reasons changes may be </w:t>
      </w:r>
    </w:p>
    <w:p>
      <w:pPr>
        <w:pStyle w:val="Normal"/>
      </w:pPr>
      <w:r>
        <w:t xml:space="preserve">instigated in your environment: </w:t>
      </w:r>
    </w:p>
    <w:p>
      <w:pPr>
        <w:pStyle w:val="Para 25"/>
      </w:pPr>
      <w:r>
        <w:t/>
      </w:r>
    </w:p>
    <w:p>
      <w:pPr>
        <w:pStyle w:val="Para 04"/>
      </w:pPr>
      <w:r>
        <w:t xml:space="preserve">• </w:t>
        <w:t xml:space="preserve">User requests—Aside from requests for new or upgraded software and the “My computer </w:t>
      </w:r>
    </w:p>
    <w:p>
      <w:pPr>
        <w:pStyle w:val="Para 01"/>
      </w:pPr>
      <w:r>
        <w:t xml:space="preserve">is slow, I need more RAM” request, consider that you may also need to account for evaluation software requests. Particularly with evaluations, it is important to have a plan </w:t>
      </w:r>
    </w:p>
    <w:p>
      <w:pPr>
        <w:pStyle w:val="Para 01"/>
      </w:pPr>
      <w:r>
        <w:t xml:space="preserve">for the inevitable removal, or even the possible in-place activation, of the software at the </w:t>
      </w:r>
    </w:p>
    <w:p>
      <w:pPr>
        <w:pStyle w:val="Para 01"/>
      </w:pPr>
      <w:r>
        <w:t xml:space="preserve">end of the evaluation period. Testing the removal of software becomes a step of increased importance in this situation. Hopefully, the process put in place will keep you from </w:t>
      </w:r>
    </w:p>
    <w:p>
      <w:pPr>
        <w:pStyle w:val="Para 01"/>
      </w:pPr>
      <w:r>
        <w:t xml:space="preserve">having to be the one to deny these regular user requests. </w:t>
      </w:r>
    </w:p>
    <w:p>
      <w:pPr>
        <w:pStyle w:val="Para 25"/>
      </w:pPr>
      <w:r>
        <w:t/>
      </w:r>
    </w:p>
    <w:p>
      <w:pPr>
        <w:pStyle w:val="Para 04"/>
      </w:pPr>
      <w:r>
        <w:t xml:space="preserve">• </w:t>
        <w:t xml:space="preserve">OS upgrades—Some day, someone will need to upgrade to a new OS. Sometimes it is </w:t>
      </w:r>
    </w:p>
    <w:p>
      <w:pPr>
        <w:pStyle w:val="Para 01"/>
      </w:pPr>
      <w:r>
        <w:t xml:space="preserve">difficult to look so far ahead, but in the world of Windows, Microsoft has made it easier </w:t>
      </w:r>
    </w:p>
    <w:p>
      <w:pPr>
        <w:pStyle w:val="Para 01"/>
      </w:pPr>
      <w:r>
        <w:t xml:space="preserve">to see that day by publishing its Windows Product Lifecycle. </w:t>
      </w:r>
    </w:p>
    <w:p>
      <w:pPr>
        <w:pStyle w:val="Para 25"/>
      </w:pPr>
      <w:r>
        <w:t/>
      </w:r>
    </w:p>
    <w:p>
      <w:pPr>
        <w:pStyle w:val="Para 01"/>
      </w:pPr>
      <w:r>
        <w:t xml:space="preserve">This life cycle states that Windows desktop OS licenses will be available for purchase for </w:t>
      </w:r>
    </w:p>
    <w:p>
      <w:pPr>
        <w:pStyle w:val="Para 01"/>
      </w:pPr>
      <w:r>
        <w:t xml:space="preserve">a minimum of 4 years, with assisted support offerings available for up to 7 years after </w:t>
      </w:r>
    </w:p>
    <w:p>
      <w:pPr>
        <w:pStyle w:val="Para 01"/>
      </w:pPr>
      <w:r>
        <w:t xml:space="preserve">general availability. During these periods, Windows desktop product assisted support will move through a modified set of Product Lifecycle Phases. Standard support offerings will </w:t>
      </w:r>
    </w:p>
    <w:p>
      <w:pPr>
        <w:pStyle w:val="Para 01"/>
      </w:pPr>
      <w:r>
        <w:t xml:space="preserve">be available for the first 5 years after general availability. It will then go into an Extended </w:t>
      </w:r>
    </w:p>
    <w:p>
      <w:pPr>
        <w:pStyle w:val="Para 01"/>
      </w:pPr>
      <w:r>
        <w:t xml:space="preserve">Support Phase between 5 and 7 years after general availability. During this time, assisted support on an hourly basis and hotfixes may be available. However, there will be no </w:t>
      </w:r>
    </w:p>
    <w:p>
      <w:pPr>
        <w:pStyle w:val="Para 01"/>
      </w:pPr>
      <w:r>
        <w:t xml:space="preserve">requests for warranty support, design changes, or new features handled by Microsoft </w:t>
      </w:r>
    </w:p>
    <w:p>
      <w:pPr>
        <w:pStyle w:val="Para 01"/>
      </w:pPr>
      <w:r>
        <w:t xml:space="preserve">during this extended phase. Table 8.3 shows the Windows Product Lifecycles phases by </w:t>
      </w:r>
    </w:p>
    <w:p>
      <w:pPr>
        <w:pStyle w:val="Para 01"/>
      </w:pPr>
      <w:r>
        <w:t xml:space="preserve">date. </w:t>
      </w:r>
    </w:p>
    <w:p>
      <w:pPr>
        <w:pStyle w:val="Para 25"/>
      </w:pPr>
      <w:r>
        <w:t/>
      </w:r>
    </w:p>
    <w:p>
      <w:pPr>
        <w:pStyle w:val="Para 18"/>
      </w:pPr>
      <w:r>
        <w:t xml:space="preserve">Desktop OS </w:t>
      </w:r>
      <w:r>
        <w:rPr>
          <w:rStyle w:val="Text5"/>
        </w:rPr>
        <w:t xml:space="preserve"> </w:t>
      </w:r>
      <w:r>
        <w:t xml:space="preserve">Date of General Availability </w:t>
      </w:r>
      <w:r>
        <w:rPr>
          <w:rStyle w:val="Text5"/>
        </w:rPr>
        <w:t xml:space="preserve"> </w:t>
      </w:r>
      <w:r>
        <w:t xml:space="preserve">OEM and Retail License </w:t>
      </w:r>
    </w:p>
    <w:p>
      <w:pPr>
        <w:pStyle w:val="Para 32"/>
      </w:pPr>
      <w:r>
        <w:t xml:space="preserve">Start Date </w:t>
      </w:r>
      <w:r>
        <w:rPr>
          <w:rStyle w:val="Text5"/>
        </w:rPr>
        <w:t xml:space="preserve"> </w:t>
      </w:r>
      <w:r>
        <w:t xml:space="preserve">Availability End Date </w:t>
      </w:r>
    </w:p>
    <w:p>
      <w:pPr>
        <w:pStyle w:val="Para 03"/>
      </w:pPr>
      <w:r>
        <w:t xml:space="preserve">MS DOS 6.xx </w:t>
      </w:r>
      <w:r>
        <w:rPr>
          <w:rStyle w:val="Text2"/>
        </w:rPr>
        <w:t xml:space="preserve"> </w:t>
      </w:r>
      <w:r>
        <w:t xml:space="preserve">1-Jun-94 </w:t>
      </w:r>
      <w:r>
        <w:rPr>
          <w:rStyle w:val="Text2"/>
        </w:rPr>
        <w:t xml:space="preserve"> </w:t>
      </w:r>
      <w:r>
        <w:t xml:space="preserve">31-Nov-01 </w:t>
      </w:r>
    </w:p>
    <w:p>
      <w:pPr>
        <w:pStyle w:val="Para 03"/>
      </w:pPr>
      <w:r>
        <w:t xml:space="preserve">Windows 95 </w:t>
      </w:r>
      <w:r>
        <w:rPr>
          <w:rStyle w:val="Text2"/>
        </w:rPr>
        <w:t xml:space="preserve"> </w:t>
      </w:r>
      <w:r>
        <w:t xml:space="preserve">15-Aug-95 </w:t>
      </w:r>
      <w:r>
        <w:rPr>
          <w:rStyle w:val="Text2"/>
        </w:rPr>
        <w:t xml:space="preserve"> </w:t>
      </w:r>
      <w:r>
        <w:t xml:space="preserve">31-Dec-00 </w:t>
      </w:r>
    </w:p>
    <w:p>
      <w:pPr>
        <w:pStyle w:val="Para 03"/>
      </w:pPr>
      <w:r>
        <w:t xml:space="preserve">Windows NT Workstation 4.xx 29-Jul-96 </w:t>
      </w:r>
      <w:r>
        <w:rPr>
          <w:rStyle w:val="Text2"/>
        </w:rPr>
        <w:t xml:space="preserve"> </w:t>
      </w:r>
      <w:r>
        <w:t xml:space="preserve">30-Jun-02 </w:t>
      </w:r>
    </w:p>
    <w:p>
      <w:pPr>
        <w:pStyle w:val="Para 03"/>
      </w:pPr>
      <w:r>
        <w:t xml:space="preserve">Windows 98 </w:t>
      </w:r>
      <w:r>
        <w:rPr>
          <w:rStyle w:val="Text2"/>
        </w:rPr>
        <w:t xml:space="preserve"> </w:t>
      </w:r>
      <w:r>
        <w:t xml:space="preserve">30-Jun-98 </w:t>
      </w:r>
      <w:r>
        <w:rPr>
          <w:rStyle w:val="Text2"/>
        </w:rPr>
        <w:t xml:space="preserve"> </w:t>
      </w:r>
      <w:r>
        <w:t xml:space="preserve">30-Jun-02 </w:t>
      </w:r>
    </w:p>
    <w:p>
      <w:pPr>
        <w:pStyle w:val="Para 03"/>
      </w:pPr>
      <w:r>
        <w:t xml:space="preserve">Windows 98 SE </w:t>
      </w:r>
      <w:r>
        <w:rPr>
          <w:rStyle w:val="Text2"/>
        </w:rPr>
        <w:t xml:space="preserve"> </w:t>
      </w:r>
      <w:r>
        <w:t xml:space="preserve">30-Jun-99 </w:t>
      </w:r>
      <w:r>
        <w:rPr>
          <w:rStyle w:val="Text2"/>
        </w:rPr>
        <w:t xml:space="preserve"> </w:t>
      </w:r>
      <w:r>
        <w:t xml:space="preserve">30-Jun-02 </w:t>
      </w:r>
    </w:p>
    <w:p>
      <w:pPr>
        <w:pStyle w:val="Para 03"/>
      </w:pPr>
      <w:r>
        <w:t xml:space="preserve">Windows Millennium Edition 31-Dec-00 </w:t>
      </w:r>
      <w:r>
        <w:rPr>
          <w:rStyle w:val="Text2"/>
        </w:rPr>
        <w:t xml:space="preserve"> </w:t>
      </w:r>
      <w:r>
        <w:t xml:space="preserve">31-Dec-03 </w:t>
      </w:r>
    </w:p>
    <w:p>
      <w:pPr>
        <w:pStyle w:val="Para 03"/>
      </w:pPr>
      <w:r>
        <w:t xml:space="preserve">Windows 2000 </w:t>
      </w:r>
      <w:r>
        <w:rPr>
          <w:rStyle w:val="Text2"/>
        </w:rPr>
        <w:t xml:space="preserve"> </w:t>
      </w:r>
      <w:r>
        <w:t xml:space="preserve">31-Mar-00 </w:t>
      </w:r>
      <w:r>
        <w:rPr>
          <w:rStyle w:val="Text2"/>
        </w:rPr>
        <w:t xml:space="preserve"> </w:t>
      </w:r>
      <w:r>
        <w:t xml:space="preserve">31-Mar-04 </w:t>
      </w:r>
    </w:p>
    <w:p>
      <w:pPr>
        <w:pStyle w:val="Para 03"/>
      </w:pPr>
      <w:r>
        <w:t xml:space="preserve">Windows XP </w:t>
      </w:r>
      <w:r>
        <w:rPr>
          <w:rStyle w:val="Text2"/>
        </w:rPr>
        <w:t xml:space="preserve"> </w:t>
      </w:r>
      <w:r>
        <w:t xml:space="preserve">31-Dec-01 31-Dec-05 </w:t>
      </w:r>
    </w:p>
    <w:p>
      <w:pPr>
        <w:pStyle w:val="Para 25"/>
      </w:pPr>
      <w:r>
        <w:t/>
      </w:r>
    </w:p>
    <w:p>
      <w:pPr>
        <w:pStyle w:val="Para 10"/>
      </w:pPr>
      <w:r>
        <w:t xml:space="preserve">Table 8.3: Windows Product Lifecycle dates.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97" name="index-216_1.png" descr="index-216_1.png"/>
            <wp:cNvGraphicFramePr>
              <a:graphicFrameLocks noChangeAspect="1"/>
            </wp:cNvGraphicFramePr>
            <a:graphic>
              <a:graphicData uri="http://schemas.openxmlformats.org/drawingml/2006/picture">
                <pic:pic>
                  <pic:nvPicPr>
                    <pic:cNvPr id="0" name="index-216_1.png" descr="index-216_1.png"/>
                    <pic:cNvPicPr/>
                  </pic:nvPicPr>
                  <pic:blipFill>
                    <a:blip r:embed="rId501"/>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498" name="index-216_2.png" descr="index-216_2.png"/>
            <wp:cNvGraphicFramePr>
              <a:graphicFrameLocks noChangeAspect="1"/>
            </wp:cNvGraphicFramePr>
            <a:graphic>
              <a:graphicData uri="http://schemas.openxmlformats.org/drawingml/2006/picture">
                <pic:pic>
                  <pic:nvPicPr>
                    <pic:cNvPr id="0" name="index-216_2.png" descr="index-216_2.png"/>
                    <pic:cNvPicPr/>
                  </pic:nvPicPr>
                  <pic:blipFill>
                    <a:blip r:embed="rId502"/>
                    <a:stretch>
                      <a:fillRect/>
                    </a:stretch>
                  </pic:blipFill>
                  <pic:spPr>
                    <a:xfrm>
                      <a:off x="0" y="0"/>
                      <a:ext cx="914400" cy="444500"/>
                    </a:xfrm>
                    <a:prstGeom prst="rect">
                      <a:avLst/>
                    </a:prstGeom>
                  </pic:spPr>
                </pic:pic>
              </a:graphicData>
            </a:graphic>
          </wp:anchor>
        </w:drawing>
      </w:r>
    </w:p>
    <w:p>
      <w:pPr>
        <w:pStyle w:val="0 Block"/>
      </w:pPr>
    </w:p>
    <w:p>
      <w:bookmarkStart w:id="227" w:name="Chapter_8_17"/>
      <w:pPr>
        <w:pStyle w:val="Heading 1"/>
        <w:pageBreakBefore w:val="on"/>
      </w:pPr>
      <w:r>
        <w:t>Chapter 8</w:t>
      </w:r>
      <w:bookmarkEnd w:id="227"/>
    </w:p>
    <w:p>
      <w:pPr>
        <w:pStyle w:val="Para 25"/>
      </w:pPr>
      <w:r>
        <w:t/>
      </w:r>
    </w:p>
    <w:p>
      <w:pPr>
        <w:pStyle w:val="Para 02"/>
      </w:pPr>
      <w:r>
        <w:t xml:space="preserve">For more information about Windows Product Lifecycles, visit </w:t>
        <w:t>http://support.microsoft.com/lifecycle</w:t>
        <w:t xml:space="preserve">. </w:t>
      </w:r>
    </w:p>
    <w:p>
      <w:pPr>
        <w:pStyle w:val="Para 25"/>
      </w:pPr>
      <w:r>
        <w:t/>
      </w:r>
    </w:p>
    <w:p>
      <w:pPr>
        <w:pStyle w:val="Para 04"/>
      </w:pPr>
      <w:r>
        <w:t xml:space="preserve">• Software upgrades—Software release schedules can be annual, quarterly, or even </w:t>
      </w:r>
    </w:p>
    <w:p>
      <w:pPr>
        <w:pStyle w:val="Para 01"/>
      </w:pPr>
      <w:r>
        <w:t xml:space="preserve">monthly. Patches and fixes can be even more frequent. Although not all software will be critical enough to warrant this regular attention, much will. You must also consider the </w:t>
      </w:r>
    </w:p>
    <w:p>
      <w:pPr>
        <w:pStyle w:val="Para 01"/>
      </w:pPr>
      <w:r>
        <w:t xml:space="preserve">fact that if your software becomes too outdated, support and compatibility issues may </w:t>
      </w:r>
    </w:p>
    <w:p>
      <w:pPr>
        <w:pStyle w:val="Para 01"/>
      </w:pPr>
      <w:r>
        <w:t xml:space="preserve">also drive change. Plan for the likelihood of upgrades and patches and you may see </w:t>
      </w:r>
    </w:p>
    <w:p>
      <w:pPr>
        <w:pStyle w:val="Para 01"/>
      </w:pPr>
      <w:r>
        <w:t xml:space="preserve">opportunities to prepare for it when the time comes. </w:t>
      </w:r>
    </w:p>
    <w:p>
      <w:pPr>
        <w:pStyle w:val="Para 25"/>
      </w:pPr>
      <w:r>
        <w:t/>
      </w:r>
    </w:p>
    <w:p>
      <w:pPr>
        <w:pStyle w:val="Para 04"/>
      </w:pPr>
      <w:r>
        <w:t xml:space="preserve">• Fixes—In particular, security fixes have been a common hot button for many </w:t>
      </w:r>
    </w:p>
    <w:p>
      <w:pPr>
        <w:pStyle w:val="Para 01"/>
      </w:pPr>
      <w:r>
        <w:t xml:space="preserve">environments. With Windows being scrutinized and taken apart by so many, security </w:t>
      </w:r>
    </w:p>
    <w:p>
      <w:pPr>
        <w:pStyle w:val="Para 01"/>
      </w:pPr>
      <w:r>
        <w:t xml:space="preserve">vulnerabilities surface on a frighteningly frequent basis. </w:t>
      </w:r>
    </w:p>
    <w:p>
      <w:pPr>
        <w:pStyle w:val="Para 25"/>
      </w:pPr>
      <w:r>
        <w:t/>
      </w:r>
    </w:p>
    <w:p>
      <w:pPr>
        <w:pStyle w:val="Para 04"/>
      </w:pPr>
      <w:r>
        <w:t xml:space="preserve">• </w:t>
        <w:t xml:space="preserve">Hardware upgrades—As discussed earlier, increasing recommended requirements can be </w:t>
      </w:r>
    </w:p>
    <w:p>
      <w:pPr>
        <w:pStyle w:val="Para 01"/>
      </w:pPr>
      <w:r>
        <w:t xml:space="preserve">expected at unspecified intervals. For years, few software packages required more than a 386-based processor and varying amounts of RAM. Today, increases in hardware </w:t>
      </w:r>
    </w:p>
    <w:p>
      <w:pPr>
        <w:pStyle w:val="Para 01"/>
      </w:pPr>
      <w:r>
        <w:t xml:space="preserve">requirements, particularly in drive space and RAM, are increasingly frequent. </w:t>
      </w:r>
    </w:p>
    <w:p>
      <w:pPr>
        <w:pStyle w:val="Para 01"/>
      </w:pPr>
      <w:r>
        <w:t xml:space="preserve">Conversely, hardware upgrades may result in a need for software updates as well (as in the case of drivers and hardware support software). </w:t>
      </w:r>
    </w:p>
    <w:p>
      <w:pPr>
        <w:pStyle w:val="Para 25"/>
      </w:pPr>
      <w:r>
        <w:t/>
      </w:r>
    </w:p>
    <w:p>
      <w:pPr>
        <w:pStyle w:val="Para 02"/>
      </w:pPr>
      <w:r>
        <w:t xml:space="preserve">Some organizations have an established hardware lifecycle in place. A percentage of the user </w:t>
      </w:r>
    </w:p>
    <w:p>
      <w:pPr>
        <w:pStyle w:val="Para 02"/>
      </w:pPr>
      <w:r>
        <w:t xml:space="preserve">desktops in the organization are retired and replaced at a regular interval. For example, 33 percent of </w:t>
      </w:r>
    </w:p>
    <w:p>
      <w:pPr>
        <w:pStyle w:val="Para 02"/>
      </w:pPr>
      <w:r>
        <w:t xml:space="preserve">the machines are replaced every year in a 3-year life cycle. </w:t>
      </w:r>
    </w:p>
    <w:p>
      <w:pPr>
        <w:pStyle w:val="Para 25"/>
      </w:pPr>
      <w:r>
        <w:t/>
      </w:r>
    </w:p>
    <w:p>
      <w:pPr>
        <w:pStyle w:val="Para 04"/>
      </w:pPr>
      <w:r>
        <w:t xml:space="preserve">• </w:t>
        <w:t xml:space="preserve">Business changes—Reorganizations and relocations represent another common catalyst </w:t>
      </w:r>
    </w:p>
    <w:p>
      <w:pPr>
        <w:pStyle w:val="Para 01"/>
      </w:pPr>
      <w:r>
        <w:t xml:space="preserve">for change. For example, a newly formed group of people may need a specialized </w:t>
      </w:r>
    </w:p>
    <w:p>
      <w:pPr>
        <w:pStyle w:val="Para 01"/>
      </w:pPr>
      <w:r>
        <w:t xml:space="preserve">baseline or may have increased hardware requirements. </w:t>
      </w:r>
    </w:p>
    <w:p>
      <w:pPr>
        <w:pStyle w:val="Para 25"/>
      </w:pPr>
      <w:r>
        <w:t/>
      </w:r>
    </w:p>
    <w:p>
      <w:pPr>
        <w:pStyle w:val="Para 07"/>
      </w:pPr>
      <w:r>
        <w:t xml:space="preserve">Establishing Policies for Change </w:t>
      </w:r>
    </w:p>
    <w:p>
      <w:pPr>
        <w:pStyle w:val="Normal"/>
      </w:pPr>
      <w:r>
        <w:t xml:space="preserve">The basis for a change management process is established policies and procedures. It is important to have a wide organizational involvement in the establishment and enforcement of </w:t>
      </w:r>
    </w:p>
    <w:p>
      <w:pPr>
        <w:pStyle w:val="Normal"/>
      </w:pPr>
      <w:r>
        <w:t xml:space="preserve">these policies. These policies and procedures should be refined as improvements can be </w:t>
      </w:r>
    </w:p>
    <w:p>
      <w:pPr>
        <w:pStyle w:val="Normal"/>
      </w:pPr>
      <w:r>
        <w:t xml:space="preserve">identified. </w:t>
      </w:r>
    </w:p>
    <w:p>
      <w:pPr>
        <w:pStyle w:val="Para 25"/>
      </w:pPr>
      <w:r>
        <w:t/>
      </w:r>
    </w:p>
    <w:p>
      <w:pPr>
        <w:pStyle w:val="Para 09"/>
      </w:pPr>
      <w:r>
        <w:t xml:space="preserve">Goals and Objectives </w:t>
      </w:r>
    </w:p>
    <w:p>
      <w:pPr>
        <w:pStyle w:val="Para 25"/>
      </w:pPr>
      <w:r>
        <w:t/>
      </w:r>
    </w:p>
    <w:p>
      <w:pPr>
        <w:pStyle w:val="Normal"/>
      </w:pPr>
      <w:r>
        <w:t xml:space="preserve">What are you trying to accomplish with your change management process? In an attempt to </w:t>
      </w:r>
    </w:p>
    <w:p>
      <w:pPr>
        <w:pStyle w:val="Normal"/>
      </w:pPr>
      <w:r>
        <w:t xml:space="preserve">attain a consistent environment, one mindset is to establish and maintain a common baseline by </w:t>
      </w:r>
    </w:p>
    <w:p>
      <w:pPr>
        <w:pStyle w:val="Normal"/>
      </w:pPr>
      <w:r>
        <w:t xml:space="preserve">updating all systems together. Installing all software on all systems may seem like a licensing problem, but a software metering tool can provide a solution. Many organizations simply want to </w:t>
      </w:r>
    </w:p>
    <w:p>
      <w:pPr>
        <w:pStyle w:val="Normal"/>
      </w:pPr>
      <w:r>
        <w:t xml:space="preserve">ensure that configurations are documented and managed in a controlled manner so as to </w:t>
      </w:r>
    </w:p>
    <w:p>
      <w:pPr>
        <w:pStyle w:val="Normal"/>
      </w:pPr>
      <w:r>
        <w:t xml:space="preserve">minimize license violations and more easily associate specific problems to similarly configured systems. For example, if you know two software packages have an issue running on the same </w:t>
      </w:r>
    </w:p>
    <w:p>
      <w:pPr>
        <w:pStyle w:val="Normal"/>
      </w:pPr>
      <w:r>
        <w:t xml:space="preserve">system, you can be proactive in addressing the problem if you can quickly establish which </w:t>
      </w:r>
    </w:p>
    <w:p>
      <w:pPr>
        <w:pStyle w:val="Normal"/>
      </w:pPr>
      <w:r>
        <w:t xml:space="preserve">systems are at risk.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499" name="index-217_1.png" descr="index-217_1.png"/>
            <wp:cNvGraphicFramePr>
              <a:graphicFrameLocks noChangeAspect="1"/>
            </wp:cNvGraphicFramePr>
            <a:graphic>
              <a:graphicData uri="http://schemas.openxmlformats.org/drawingml/2006/picture">
                <pic:pic>
                  <pic:nvPicPr>
                    <pic:cNvPr id="0" name="index-217_1.png" descr="index-217_1.png"/>
                    <pic:cNvPicPr/>
                  </pic:nvPicPr>
                  <pic:blipFill>
                    <a:blip r:embed="rId503"/>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500" name="index-217_2.png" descr="index-217_2.png"/>
            <wp:cNvGraphicFramePr>
              <a:graphicFrameLocks noChangeAspect="1"/>
            </wp:cNvGraphicFramePr>
            <a:graphic>
              <a:graphicData uri="http://schemas.openxmlformats.org/drawingml/2006/picture">
                <pic:pic>
                  <pic:nvPicPr>
                    <pic:cNvPr id="0" name="index-217_2.png" descr="index-217_2.png"/>
                    <pic:cNvPicPr/>
                  </pic:nvPicPr>
                  <pic:blipFill>
                    <a:blip r:embed="rId504"/>
                    <a:stretch>
                      <a:fillRect/>
                    </a:stretch>
                  </pic:blipFill>
                  <pic:spPr>
                    <a:xfrm>
                      <a:off x="0" y="0"/>
                      <a:ext cx="914400" cy="444500"/>
                    </a:xfrm>
                    <a:prstGeom prst="rect">
                      <a:avLst/>
                    </a:prstGeom>
                  </pic:spPr>
                </pic:pic>
              </a:graphicData>
            </a:graphic>
          </wp:anchor>
        </w:drawing>
      </w:r>
    </w:p>
    <w:p>
      <w:pPr>
        <w:pStyle w:val="0 Block"/>
      </w:pPr>
    </w:p>
    <w:p>
      <w:bookmarkStart w:id="228" w:name="Chapter_8_18"/>
      <w:pPr>
        <w:pStyle w:val="Heading 1"/>
        <w:pageBreakBefore w:val="on"/>
      </w:pPr>
      <w:r>
        <w:t>Chapter 8</w:t>
      </w:r>
      <w:bookmarkEnd w:id="228"/>
    </w:p>
    <w:p>
      <w:pPr>
        <w:pStyle w:val="Para 25"/>
      </w:pPr>
      <w:r>
        <w:t/>
      </w:r>
    </w:p>
    <w:p>
      <w:pPr>
        <w:pStyle w:val="Para 09"/>
      </w:pPr>
      <w:r>
        <w:t xml:space="preserve">Roles and Responsibilities </w:t>
      </w:r>
    </w:p>
    <w:p>
      <w:pPr>
        <w:pStyle w:val="Para 25"/>
      </w:pPr>
      <w:r>
        <w:t/>
      </w:r>
    </w:p>
    <w:p>
      <w:pPr>
        <w:pStyle w:val="Normal"/>
      </w:pPr>
      <w:r>
        <w:t xml:space="preserve">There may be a great number of people involved in your change management process; thus, it is </w:t>
      </w:r>
    </w:p>
    <w:p>
      <w:pPr>
        <w:pStyle w:val="Normal"/>
      </w:pPr>
      <w:r>
        <w:t xml:space="preserve">important to establish clearly defined barriers of responsibility. Roles may include making decisions or even just sitting in on meetings to represent a division or group. </w:t>
      </w:r>
    </w:p>
    <w:p>
      <w:pPr>
        <w:pStyle w:val="Para 25"/>
      </w:pPr>
      <w:r>
        <w:t/>
      </w:r>
    </w:p>
    <w:p>
      <w:pPr>
        <w:pStyle w:val="Para 09"/>
      </w:pPr>
      <w:r>
        <w:t xml:space="preserve">Initiation Procedures </w:t>
      </w:r>
    </w:p>
    <w:p>
      <w:pPr>
        <w:pStyle w:val="Para 25"/>
      </w:pPr>
      <w:r>
        <w:t/>
      </w:r>
    </w:p>
    <w:p>
      <w:pPr>
        <w:pStyle w:val="Normal"/>
      </w:pPr>
      <w:r>
        <w:t xml:space="preserve">Depending upon the environment, requests could be initiated by a Web form, a board presentation, or a simple email. It is important that users should know where to go to request </w:t>
      </w:r>
    </w:p>
    <w:p>
      <w:pPr>
        <w:pStyle w:val="Normal"/>
      </w:pPr>
      <w:r>
        <w:t xml:space="preserve">action and that a summary of the approval, development, testing, and deployment procedures be </w:t>
      </w:r>
    </w:p>
    <w:p>
      <w:pPr>
        <w:pStyle w:val="Normal"/>
      </w:pPr>
      <w:r>
        <w:t xml:space="preserve">available. </w:t>
      </w:r>
    </w:p>
    <w:p>
      <w:pPr>
        <w:pStyle w:val="Para 25"/>
      </w:pPr>
      <w:r>
        <w:t/>
      </w:r>
    </w:p>
    <w:p>
      <w:pPr>
        <w:pStyle w:val="Para 09"/>
      </w:pPr>
      <w:r>
        <w:t xml:space="preserve">Approval Procedures </w:t>
      </w:r>
    </w:p>
    <w:p>
      <w:pPr>
        <w:pStyle w:val="Para 25"/>
      </w:pPr>
      <w:r>
        <w:t/>
      </w:r>
    </w:p>
    <w:p>
      <w:pPr>
        <w:pStyle w:val="Normal"/>
      </w:pPr>
      <w:r>
        <w:t xml:space="preserve">Although in some organizations, it may seem like everything gets approved, there should be an </w:t>
      </w:r>
    </w:p>
    <w:p>
      <w:pPr>
        <w:pStyle w:val="Normal"/>
      </w:pPr>
      <w:r>
        <w:t xml:space="preserve">approval process as a vital step in your change management process. Define what is required for </w:t>
      </w:r>
    </w:p>
    <w:p>
      <w:pPr>
        <w:pStyle w:val="Normal"/>
      </w:pPr>
      <w:r>
        <w:t xml:space="preserve">approval or what factors will be weighed. </w:t>
      </w:r>
    </w:p>
    <w:p>
      <w:pPr>
        <w:pStyle w:val="Para 25"/>
      </w:pPr>
      <w:r>
        <w:t/>
      </w:r>
    </w:p>
    <w:p>
      <w:pPr>
        <w:pStyle w:val="Para 19"/>
      </w:pPr>
      <w:r>
        <w:t xml:space="preserve">Establishing Business Reasons for Change </w:t>
      </w:r>
    </w:p>
    <w:p>
      <w:pPr>
        <w:pStyle w:val="Para 03"/>
      </w:pPr>
      <w:r>
        <w:t xml:space="preserve">Installing the fifth different spreadsheet program on the network? Before software is ever purchased, </w:t>
        <w:t xml:space="preserve">there should be a business need presented for why the new software is required. The same goes for </w:t>
        <w:t xml:space="preserve">upgrades—the fact that an upgrade exists is not always the best reason for deploying it. </w:t>
      </w:r>
    </w:p>
    <w:p>
      <w:pPr>
        <w:pStyle w:val="Para 03"/>
      </w:pPr>
      <w:r>
        <w:t xml:space="preserve">If the new software requested provides new functionality needed by your users, that reason is a good </w:t>
        <w:t xml:space="preserve">basis for a business case. An upgrade that makes a software product faster is a good basis for a </w:t>
        <w:t xml:space="preserve">business case. If the new or upgraded software can improve the work your users need to perform, this </w:t>
        <w:t xml:space="preserve">improvement can often be converted into time, and thus, into money. </w:t>
      </w:r>
    </w:p>
    <w:p>
      <w:pPr>
        <w:pStyle w:val="Para 25"/>
      </w:pPr>
      <w:r>
        <w:t/>
      </w:r>
    </w:p>
    <w:p>
      <w:pPr>
        <w:pStyle w:val="Para 09"/>
      </w:pPr>
      <w:r>
        <w:t xml:space="preserve">Design, Planning, and Testing </w:t>
      </w:r>
    </w:p>
    <w:p>
      <w:pPr>
        <w:pStyle w:val="Para 25"/>
      </w:pPr>
      <w:r>
        <w:t/>
      </w:r>
    </w:p>
    <w:p>
      <w:pPr>
        <w:pStyle w:val="Normal"/>
      </w:pPr>
      <w:r>
        <w:t xml:space="preserve">As discussed in Chapter 4, establishing a process for designing, planning, and testing is essential. </w:t>
      </w:r>
    </w:p>
    <w:p>
      <w:pPr>
        <w:pStyle w:val="Normal"/>
      </w:pPr>
      <w:r>
        <w:t xml:space="preserve">Not just in the implementation of new software and updates, but in hardware changes as well. How can the job be done? What is the best way to do it? And what could go wrong? After you </w:t>
      </w:r>
    </w:p>
    <w:p>
      <w:pPr>
        <w:pStyle w:val="Normal"/>
      </w:pPr>
      <w:r>
        <w:t xml:space="preserve">answer these questions, validate the decision with testing in an environment as close to </w:t>
      </w:r>
    </w:p>
    <w:p>
      <w:pPr>
        <w:pStyle w:val="Normal"/>
      </w:pPr>
      <w:r>
        <w:t xml:space="preserve">production as possible. </w:t>
      </w:r>
    </w:p>
    <w:p>
      <w:pPr>
        <w:pStyle w:val="Para 25"/>
      </w:pPr>
      <w:r>
        <w:t/>
      </w:r>
    </w:p>
    <w:p>
      <w:pPr>
        <w:pStyle w:val="Para 09"/>
      </w:pPr>
      <w:r>
        <w:t xml:space="preserve">Scheduling </w:t>
      </w:r>
    </w:p>
    <w:p>
      <w:pPr>
        <w:pStyle w:val="Para 25"/>
      </w:pPr>
      <w:r>
        <w:t/>
      </w:r>
    </w:p>
    <w:p>
      <w:pPr>
        <w:pStyle w:val="Normal"/>
      </w:pPr>
      <w:r>
        <w:t xml:space="preserve">As mentioned earlier, having representatives from the various departments or business groups </w:t>
      </w:r>
    </w:p>
    <w:p>
      <w:pPr>
        <w:pStyle w:val="Normal"/>
      </w:pPr>
      <w:r>
        <w:t xml:space="preserve">within your organization involved in meetings about change decisions is a very good idea. A </w:t>
      </w:r>
    </w:p>
    <w:p>
      <w:pPr>
        <w:pStyle w:val="Normal"/>
      </w:pPr>
      <w:r>
        <w:t xml:space="preserve">representative from another department will have more intimate details of how changes may adversely affect their operations—in particular, schedules. Can the deployment happen at night? </w:t>
      </w:r>
    </w:p>
    <w:p>
      <w:pPr>
        <w:pStyle w:val="Normal"/>
      </w:pPr>
      <w:r>
        <w:t xml:space="preserve">Over the weekend? Must it happen during business hours? If you need a user present, the </w:t>
      </w:r>
    </w:p>
    <w:p>
      <w:pPr>
        <w:pStyle w:val="Normal"/>
      </w:pPr>
      <w:r>
        <w:t xml:space="preserve">decision is clear. If the change can be automated to occur during off hours, consider the possible affect of not having anyone present to address unexpected problems.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501" name="index-218_1.png" descr="index-218_1.png"/>
            <wp:cNvGraphicFramePr>
              <a:graphicFrameLocks noChangeAspect="1"/>
            </wp:cNvGraphicFramePr>
            <a:graphic>
              <a:graphicData uri="http://schemas.openxmlformats.org/drawingml/2006/picture">
                <pic:pic>
                  <pic:nvPicPr>
                    <pic:cNvPr id="0" name="index-218_1.png" descr="index-218_1.png"/>
                    <pic:cNvPicPr/>
                  </pic:nvPicPr>
                  <pic:blipFill>
                    <a:blip r:embed="rId505"/>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502" name="index-218_2.png" descr="index-218_2.png"/>
            <wp:cNvGraphicFramePr>
              <a:graphicFrameLocks noChangeAspect="1"/>
            </wp:cNvGraphicFramePr>
            <a:graphic>
              <a:graphicData uri="http://schemas.openxmlformats.org/drawingml/2006/picture">
                <pic:pic>
                  <pic:nvPicPr>
                    <pic:cNvPr id="0" name="index-218_2.png" descr="index-218_2.png"/>
                    <pic:cNvPicPr/>
                  </pic:nvPicPr>
                  <pic:blipFill>
                    <a:blip r:embed="rId506"/>
                    <a:stretch>
                      <a:fillRect/>
                    </a:stretch>
                  </pic:blipFill>
                  <pic:spPr>
                    <a:xfrm>
                      <a:off x="0" y="0"/>
                      <a:ext cx="914400" cy="444500"/>
                    </a:xfrm>
                    <a:prstGeom prst="rect">
                      <a:avLst/>
                    </a:prstGeom>
                  </pic:spPr>
                </pic:pic>
              </a:graphicData>
            </a:graphic>
          </wp:anchor>
        </w:drawing>
      </w:r>
    </w:p>
    <w:p>
      <w:pPr>
        <w:pStyle w:val="0 Block"/>
      </w:pPr>
    </w:p>
    <w:p>
      <w:bookmarkStart w:id="229" w:name="Chapter_8_19"/>
      <w:pPr>
        <w:pStyle w:val="Heading 1"/>
        <w:pageBreakBefore w:val="on"/>
      </w:pPr>
      <w:r>
        <w:t>Chapter 8</w:t>
      </w:r>
      <w:bookmarkEnd w:id="229"/>
    </w:p>
    <w:p>
      <w:pPr>
        <w:pStyle w:val="Para 25"/>
      </w:pPr>
      <w:r>
        <w:t/>
      </w:r>
    </w:p>
    <w:p>
      <w:pPr>
        <w:pStyle w:val="Para 09"/>
      </w:pPr>
      <w:r>
        <w:t xml:space="preserve">Communication </w:t>
      </w:r>
    </w:p>
    <w:p>
      <w:pPr>
        <w:pStyle w:val="Para 25"/>
      </w:pPr>
      <w:r>
        <w:t/>
      </w:r>
    </w:p>
    <w:p>
      <w:pPr>
        <w:pStyle w:val="Normal"/>
      </w:pPr>
      <w:r>
        <w:t xml:space="preserve">Are you going to announce deployments ahead of time? Some feel that advertising deployments </w:t>
      </w:r>
    </w:p>
    <w:p>
      <w:pPr>
        <w:pStyle w:val="Normal"/>
      </w:pPr>
      <w:r>
        <w:t xml:space="preserve">causes users to look for problems where they may not exist. A typical example is for users to blame their computers’ slowness on something the deployment team must have done to their </w:t>
      </w:r>
    </w:p>
    <w:p>
      <w:pPr>
        <w:pStyle w:val="Normal"/>
      </w:pPr>
      <w:r>
        <w:t xml:space="preserve">machines. Despite this potential drawback, it is crucial to keep users informed. Letting users </w:t>
      </w:r>
    </w:p>
    <w:p>
      <w:pPr>
        <w:pStyle w:val="Normal"/>
      </w:pPr>
      <w:r>
        <w:t xml:space="preserve">know of changes before they occur allows them to be aware of your successes and not just the failures. If users only learn of changes that affected them adversely, they will be justified in </w:t>
      </w:r>
    </w:p>
    <w:p>
      <w:pPr>
        <w:pStyle w:val="Normal"/>
      </w:pPr>
      <w:r>
        <w:t xml:space="preserve">looking down upon the capabilities of the deployment team. What can the users expect? Will </w:t>
      </w:r>
    </w:p>
    <w:p>
      <w:pPr>
        <w:pStyle w:val="Normal"/>
      </w:pPr>
      <w:r>
        <w:t xml:space="preserve">their machine reboot? Will the software they use behave differently? These are important topics </w:t>
      </w:r>
    </w:p>
    <w:p>
      <w:pPr>
        <w:pStyle w:val="Normal"/>
      </w:pPr>
      <w:r>
        <w:t xml:space="preserve">to consider in change management. </w:t>
      </w:r>
    </w:p>
    <w:p>
      <w:pPr>
        <w:pStyle w:val="Para 25"/>
      </w:pPr>
      <w:r>
        <w:t/>
      </w:r>
    </w:p>
    <w:p>
      <w:pPr>
        <w:pStyle w:val="Para 09"/>
      </w:pPr>
      <w:r>
        <w:t xml:space="preserve">Recovery and Support </w:t>
      </w:r>
    </w:p>
    <w:p>
      <w:pPr>
        <w:pStyle w:val="Para 25"/>
      </w:pPr>
      <w:r>
        <w:t/>
      </w:r>
    </w:p>
    <w:p>
      <w:pPr>
        <w:pStyle w:val="Normal"/>
      </w:pPr>
      <w:r>
        <w:t xml:space="preserve">Planning for problems and how to deal with what may go wrong beforehand can pay off if issues </w:t>
      </w:r>
    </w:p>
    <w:p>
      <w:pPr>
        <w:pStyle w:val="Normal"/>
      </w:pPr>
      <w:r>
        <w:t xml:space="preserve">arise. Any change to be implemented should require a backout plan. </w:t>
      </w:r>
    </w:p>
    <w:p>
      <w:pPr>
        <w:pStyle w:val="Para 25"/>
      </w:pPr>
      <w:r>
        <w:t/>
      </w:r>
    </w:p>
    <w:p>
      <w:pPr>
        <w:pStyle w:val="Normal"/>
      </w:pPr>
      <w:r>
        <w:t xml:space="preserve">As a whole, a support process is typically a rather involved one. As it pertains to change </w:t>
      </w:r>
    </w:p>
    <w:p>
      <w:pPr>
        <w:pStyle w:val="Normal"/>
      </w:pPr>
      <w:r>
        <w:t xml:space="preserve">management, think specifically how support will be implemented for the change. In some cases, </w:t>
      </w:r>
    </w:p>
    <w:p>
      <w:pPr>
        <w:pStyle w:val="Normal"/>
      </w:pPr>
      <w:r>
        <w:t xml:space="preserve">it may make good sense to have the Help desk remain the primary focal point for support, but with instructions to route any problems related to the changeover to the team implementing the </w:t>
      </w:r>
    </w:p>
    <w:p>
      <w:pPr>
        <w:pStyle w:val="Normal"/>
      </w:pPr>
      <w:r>
        <w:t xml:space="preserve">change. </w:t>
      </w:r>
    </w:p>
    <w:p>
      <w:pPr>
        <w:pStyle w:val="Para 25"/>
      </w:pPr>
      <w:r>
        <w:t/>
      </w:r>
    </w:p>
    <w:p>
      <w:pPr>
        <w:pStyle w:val="Para 02"/>
      </w:pPr>
      <w:r>
        <w:t xml:space="preserve">We explore support in more detail in Chapter 6. </w:t>
      </w:r>
    </w:p>
    <w:p>
      <w:pPr>
        <w:pStyle w:val="Para 25"/>
      </w:pPr>
      <w:r>
        <w:t/>
      </w:r>
    </w:p>
    <w:p>
      <w:pPr>
        <w:pStyle w:val="Para 09"/>
      </w:pPr>
      <w:r>
        <w:t xml:space="preserve">Documentation and Tracking </w:t>
      </w:r>
    </w:p>
    <w:p>
      <w:pPr>
        <w:pStyle w:val="Para 25"/>
      </w:pPr>
      <w:r>
        <w:t/>
      </w:r>
    </w:p>
    <w:p>
      <w:pPr>
        <w:pStyle w:val="Normal"/>
      </w:pPr>
      <w:r>
        <w:t xml:space="preserve">Without documenting and tracking changes, maintaining control of your environment can </w:t>
      </w:r>
    </w:p>
    <w:p>
      <w:pPr>
        <w:pStyle w:val="Normal"/>
      </w:pPr>
      <w:r>
        <w:t xml:space="preserve">quickly get away from you. Although software inventory can give you good insight into how things are, documentation will give you a picture of how things should be. </w:t>
      </w:r>
    </w:p>
    <w:p>
      <w:pPr>
        <w:pStyle w:val="Para 25"/>
      </w:pPr>
      <w:r>
        <w:t/>
      </w:r>
    </w:p>
    <w:p>
      <w:pPr>
        <w:pStyle w:val="Para 09"/>
      </w:pPr>
      <w:r>
        <w:t xml:space="preserve">Waivers and Exceptions </w:t>
      </w:r>
    </w:p>
    <w:p>
      <w:pPr>
        <w:pStyle w:val="Para 25"/>
      </w:pPr>
      <w:r>
        <w:t/>
      </w:r>
    </w:p>
    <w:p>
      <w:pPr>
        <w:pStyle w:val="Normal"/>
      </w:pPr>
      <w:r>
        <w:t xml:space="preserve">No matter how streamlined your process, there will always be situations in which things must </w:t>
      </w:r>
    </w:p>
    <w:p>
      <w:pPr>
        <w:pStyle w:val="Normal"/>
      </w:pPr>
      <w:r>
        <w:t xml:space="preserve">happen with greater speed. Establish a process for waivers and exceptions as well as an authoritative group for approving these exceptions. Although it is important to be ready to handle </w:t>
      </w:r>
    </w:p>
    <w:p>
      <w:pPr>
        <w:pStyle w:val="Normal"/>
      </w:pPr>
      <w:r>
        <w:t xml:space="preserve">exceptions, it is even more important to avoid abuse. When every change request is classified as </w:t>
      </w:r>
    </w:p>
    <w:p>
      <w:pPr>
        <w:pStyle w:val="Normal"/>
      </w:pPr>
      <w:r>
        <w:t xml:space="preserve">an urgent emergency, the benefits of the work done to establish a process for change may quickly diminish. </w:t>
      </w:r>
    </w:p>
    <w:p>
      <w:pPr>
        <w:pStyle w:val="Para 25"/>
      </w:pPr>
      <w:r>
        <w:t/>
      </w:r>
    </w:p>
    <w:p>
      <w:pPr>
        <w:pStyle w:val="Para 12"/>
      </w:pPr>
      <w:r>
        <w:t xml:space="preserve">Summary </w:t>
      </w:r>
    </w:p>
    <w:p>
      <w:pPr>
        <w:pStyle w:val="Para 25"/>
      </w:pPr>
      <w:r>
        <w:t/>
      </w:r>
    </w:p>
    <w:p>
      <w:pPr>
        <w:pStyle w:val="Normal"/>
      </w:pPr>
      <w:r>
        <w:t xml:space="preserve">In this chapter, we have discussed software and hardware inventory as well as the benefits and </w:t>
      </w:r>
    </w:p>
    <w:p>
      <w:pPr>
        <w:pStyle w:val="Normal"/>
      </w:pPr>
      <w:r>
        <w:t xml:space="preserve">methods that you can employ to maintain them. We covered the benefits of software license </w:t>
      </w:r>
    </w:p>
    <w:p>
      <w:pPr>
        <w:pStyle w:val="Normal"/>
      </w:pPr>
      <w:r>
        <w:t xml:space="preserve">management as well as a number of tools available and features to consider when evaluating solutions. Finally, we covered change management, which should be developed and maintained </w:t>
      </w:r>
    </w:p>
    <w:p>
      <w:pPr>
        <w:pStyle w:val="Normal"/>
      </w:pPr>
      <w:r>
        <w:t xml:space="preserve">from before the first workstation is even rolled out.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68400" cy="393700"/>
            <wp:effectExtent l="0" r="0" t="0" b="0"/>
            <wp:wrapTopAndBottom/>
            <wp:docPr id="503" name="index-219_1.png" descr="index-219_1.png"/>
            <wp:cNvGraphicFramePr>
              <a:graphicFrameLocks noChangeAspect="1"/>
            </wp:cNvGraphicFramePr>
            <a:graphic>
              <a:graphicData uri="http://schemas.openxmlformats.org/drawingml/2006/picture">
                <pic:pic>
                  <pic:nvPicPr>
                    <pic:cNvPr id="0" name="index-219_1.png" descr="index-219_1.png"/>
                    <pic:cNvPicPr/>
                  </pic:nvPicPr>
                  <pic:blipFill>
                    <a:blip r:embed="rId507"/>
                    <a:stretch>
                      <a:fillRect/>
                    </a:stretch>
                  </pic:blipFill>
                  <pic:spPr>
                    <a:xfrm>
                      <a:off x="0" y="0"/>
                      <a:ext cx="1168400" cy="393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444500"/>
            <wp:effectExtent l="0" r="0" t="0" b="0"/>
            <wp:wrapTopAndBottom/>
            <wp:docPr id="504" name="index-219_2.png" descr="index-219_2.png"/>
            <wp:cNvGraphicFramePr>
              <a:graphicFrameLocks noChangeAspect="1"/>
            </wp:cNvGraphicFramePr>
            <a:graphic>
              <a:graphicData uri="http://schemas.openxmlformats.org/drawingml/2006/picture">
                <pic:pic>
                  <pic:nvPicPr>
                    <pic:cNvPr id="0" name="index-219_2.png" descr="index-219_2.png"/>
                    <pic:cNvPicPr/>
                  </pic:nvPicPr>
                  <pic:blipFill>
                    <a:blip r:embed="rId508"/>
                    <a:stretch>
                      <a:fillRect/>
                    </a:stretch>
                  </pic:blipFill>
                  <pic:spPr>
                    <a:xfrm>
                      <a:off x="0" y="0"/>
                      <a:ext cx="914400" cy="444500"/>
                    </a:xfrm>
                    <a:prstGeom prst="rect">
                      <a:avLst/>
                    </a:prstGeom>
                  </pic:spPr>
                </pic:pic>
              </a:graphicData>
            </a:graphic>
          </wp:anchor>
        </w:drawing>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leftChars="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ind w:firstLineChars="100"/>
    </w:pPr>
    <w:rPr>
      <w:sz w:val="19"/>
      <w:szCs w:val="19"/>
    </w:rPr>
  </w:style>
  <w:style w:styleId="Para 03" w:type="paragraph">
    <w:name w:val="Para 03"/>
    <w:qFormat/>
    <w:basedOn w:val="Normal"/>
    <w:pPr>
      <w:spacing w:beforeLines="100" w:afterLines="100" w:line="288" w:lineRule="atLeast"/>
      <w:jc w:val="left"/>
    </w:pPr>
    <w:rPr>
      <w:sz w:val="19"/>
      <w:szCs w:val="19"/>
    </w:rPr>
  </w:style>
  <w:style w:styleId="Para 04" w:type="paragraph">
    <w:name w:val="Para 04"/>
    <w:qFormat/>
    <w:basedOn w:val="Normal"/>
    <w:pPr>
      <w:ind w:firstLine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83" w:afterLines="83" w:line="480" w:lineRule="atLeast"/>
      <w:jc w:val="right"/>
      <w:outlineLvl w:val="1"/>
    </w:pPr>
    <w:rPr>
      <w:sz w:val="40"/>
      <w:szCs w:val="40"/>
      <w:b w:val="on"/>
      <w:bCs w:val="on"/>
      <w:i w:val="on"/>
      <w:iCs w:val="on"/>
    </w:rPr>
  </w:style>
  <w:style w:styleId="Para 06" w:type="paragraph">
    <w:name w:val="Para 06"/>
    <w:qFormat/>
    <w:basedOn w:val="Normal"/>
    <w:pPr>
      <w:jc w:val="right"/>
    </w:pPr>
    <w:rPr>
      <w:sz w:val="19"/>
      <w:szCs w:val="19"/>
    </w:rPr>
  </w:style>
  <w:style w:styleId="Para 07" w:type="paragraph">
    <w:name w:val="Para 07"/>
    <w:qFormat/>
    <w:basedOn w:val="Normal"/>
    <w:pPr>
      <w:spacing w:beforeLines="100" w:afterLines="100" w:line="288" w:lineRule="atLeast"/>
      <w:jc w:val="left"/>
    </w:pPr>
    <w:rPr>
      <w:b w:val="on"/>
      <w:bCs w:val="on"/>
      <w:i w:val="on"/>
      <w:iCs w:val="on"/>
    </w:rPr>
  </w:style>
  <w:style w:styleId="Para 08" w:type="paragraph">
    <w:name w:val="Para 08"/>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9" w:type="paragraph">
    <w:name w:val="Para 09"/>
    <w:qFormat/>
    <w:basedOn w:val="Normal"/>
    <w:pPr>
      <w:spacing w:beforeLines="100" w:afterLines="100" w:line="288" w:lineRule="atLeast"/>
      <w:jc w:val="left"/>
    </w:pPr>
    <w:rPr>
      <w:b w:val="on"/>
      <w:bCs w:val="on"/>
    </w:rPr>
  </w:style>
  <w:style w:styleId="Para 10" w:type="paragraph">
    <w:name w:val="Para 10"/>
    <w:qFormat/>
    <w:basedOn w:val="Normal"/>
    <w:pPr>
      <w:spacing w:beforeLines="100" w:afterLines="100" w:line="288" w:lineRule="atLeast"/>
      <w:jc w:val="left"/>
    </w:pPr>
    <w:rPr>
      <w:sz w:val="18"/>
      <w:szCs w:val="18"/>
      <w:b w:val="on"/>
      <w:bCs w:val="on"/>
      <w:i w:val="on"/>
      <w:iCs w:val="on"/>
    </w:rPr>
  </w:style>
  <w:style w:styleId="Para 11" w:type="paragraph">
    <w:name w:val="Para 11"/>
    <w:qFormat/>
    <w:basedOn w:val="Normal"/>
    <w:pPr>
      <w:ind w:leftChars="300"/>
    </w:pPr>
    <w:rPr>
      <w:sz w:val="19"/>
      <w:szCs w:val="19"/>
    </w:rPr>
  </w:style>
  <w:style w:styleId="Para 12" w:type="paragraph">
    <w:name w:val="Para 12"/>
    <w:qFormat/>
    <w:basedOn w:val="Normal"/>
    <w:pPr>
      <w:spacing w:beforeLines="100" w:afterLines="100" w:line="288" w:lineRule="atLeast"/>
      <w:jc w:val="left"/>
    </w:pPr>
    <w:rPr>
      <w:sz w:val="31"/>
      <w:szCs w:val="31"/>
      <w:b w:val="on"/>
      <w:bCs w:val="on"/>
    </w:rPr>
  </w:style>
  <w:style w:styleId="Para 13" w:type="paragraph">
    <w:name w:val="Para 13"/>
    <w:qFormat/>
    <w:basedOn w:val="Normal"/>
    <w:pPr>
      <w:jc w:val="right"/>
    </w:pPr>
    <w:rPr>
      <w:sz w:val="19"/>
      <w:szCs w:val="19"/>
      <w:b w:val="on"/>
      <w:bCs w:val="on"/>
      <w:i w:val="on"/>
      <w:iCs w:val="on"/>
    </w:rPr>
  </w:style>
  <w:style w:styleId="Para 14" w:type="paragraph">
    <w:name w:val="Para 14"/>
    <w:qFormat/>
    <w:basedOn w:val="Normal"/>
    <w:pPr>
      <w:ind w:leftChars="100"/>
    </w:pPr>
    <w:rPr>
      <w:sz w:val="19"/>
      <w:szCs w:val="19"/>
    </w:rPr>
  </w:style>
  <w:style w:styleId="Para 15" w:type="paragraph">
    <w:name w:val="Para 15"/>
    <w:qFormat/>
    <w:basedOn w:val="Normal"/>
    <w:pPr>
      <w:ind w:leftChars="500"/>
    </w:pPr>
    <w:rPr>
      <w:sz w:val="19"/>
      <w:szCs w:val="19"/>
    </w:rPr>
  </w:style>
  <w:style w:styleId="Para 16" w:type="paragraph">
    <w:name w:val="Para 16"/>
    <w:qFormat/>
    <w:basedOn w:val="Normal"/>
    <w:pPr>
      <w:ind w:leftChars="1600"/>
    </w:pPr>
    <w:rPr>
      <w:sz w:val="19"/>
      <w:szCs w:val="19"/>
    </w:rPr>
  </w:style>
  <w:style w:styleId="Para 17" w:type="paragraph">
    <w:name w:val="Para 17"/>
    <w:qFormat/>
    <w:basedOn w:val="Normal"/>
    <w:pPr>
      <w:spacing w:beforeLines="100" w:afterLines="100" w:line="288" w:lineRule="atLeast"/>
      <w:jc w:val="left"/>
    </w:pPr>
    <w:rPr>
      <w:sz w:val="19"/>
      <w:szCs w:val="19"/>
      <w:b w:val="on"/>
      <w:bCs w:val="on"/>
      <w:i w:val="on"/>
      <w:iCs w:val="on"/>
    </w:rPr>
  </w:style>
  <w:style w:styleId="Para 18" w:type="paragraph">
    <w:name w:val="Para 18"/>
    <w:qFormat/>
    <w:basedOn w:val="Normal"/>
    <w:pPr>
      <w:spacing w:beforeLines="100" w:afterLines="100" w:line="288" w:lineRule="atLeast"/>
      <w:jc w:val="left"/>
    </w:pPr>
    <w:rPr>
      <w:sz w:val="19"/>
      <w:szCs w:val="19"/>
      <w:b w:val="on"/>
      <w:bCs w:val="on"/>
    </w:rPr>
  </w:style>
  <w:style w:styleId="Para 19" w:type="paragraph">
    <w:name w:val="Para 19"/>
    <w:qFormat/>
    <w:basedOn w:val="Normal"/>
    <w:pPr>
      <w:jc w:val="center"/>
    </w:pPr>
    <w:rPr>
      <w:sz w:val="19"/>
      <w:szCs w:val="19"/>
      <w:b w:val="on"/>
      <w:bCs w:val="on"/>
    </w:rPr>
  </w:style>
  <w:style w:styleId="Para 20" w:type="paragraph">
    <w:name w:val="Para 20"/>
    <w:qFormat/>
    <w:basedOn w:val="Normal"/>
    <w:pPr>
      <w:ind w:leftChars="5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1" w:type="paragraph">
    <w:name w:val="Para 21"/>
    <w:qFormat/>
    <w:basedOn w:val="Normal"/>
    <w:pPr>
      <w:ind w:leftChars="600"/>
    </w:pPr>
    <w:rPr>
      <w:sz w:val="19"/>
      <w:szCs w:val="19"/>
    </w:rPr>
  </w:style>
  <w:style w:styleId="Para 22" w:type="paragraph">
    <w:name w:val="Para 22"/>
    <w:qFormat/>
    <w:basedOn w:val="Normal"/>
    <w:pPr>
      <w:ind w:leftChars="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3" w:type="paragraph">
    <w:name w:val="Para 23"/>
    <w:qFormat/>
    <w:basedOn w:val="Normal"/>
    <w:pPr>
      <w:spacing w:beforeLines="83" w:afterLines="83" w:line="480" w:lineRule="atLeast"/>
    </w:pPr>
    <w:rPr>
      <w:sz w:val="48"/>
      <w:szCs w:val="48"/>
      <w:b w:val="on"/>
      <w:bCs w:val="on"/>
    </w:rPr>
  </w:style>
  <w:style w:styleId="Para 24" w:type="paragraph">
    <w:name w:val="Para 24"/>
    <w:qFormat/>
    <w:basedOn w:val="Normal"/>
    <w:pPr>
      <w:ind w:leftChars="1900"/>
    </w:pPr>
    <w:rPr>
      <w:sz w:val="19"/>
      <w:szCs w:val="19"/>
      <w:b w:val="on"/>
      <w:bCs w:val="on"/>
      <w:i w:val="on"/>
      <w:iCs w:val="on"/>
    </w:rPr>
  </w:style>
  <w:style w:styleId="Para 25" w:type="paragraph">
    <w:name w:val="Para 25"/>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jc w:val="center"/>
    </w:pPr>
    <w:rPr>
      <w:sz w:val="19"/>
      <w:szCs w:val="19"/>
      <w:b w:val="on"/>
      <w:bCs w:val="on"/>
      <w:i w:val="on"/>
      <w:iCs w:val="on"/>
    </w:rPr>
  </w:style>
  <w:style w:styleId="Para 27" w:type="paragraph">
    <w:name w:val="Para 27"/>
    <w:qFormat/>
    <w:basedOn w:val="Normal"/>
    <w:pPr>
      <w:jc w:val="center"/>
    </w:pPr>
    <w:rPr>
      <w:sz w:val="19"/>
      <w:szCs w:val="19"/>
    </w:rPr>
  </w:style>
  <w:style w:styleId="Para 28" w:type="paragraph">
    <w:name w:val="Para 28"/>
    <w:qFormat/>
    <w:basedOn w:val="Normal"/>
    <w:pPr>
      <w:ind w:leftChars="2000"/>
    </w:pPr>
    <w:rPr>
      <w:sz w:val="19"/>
      <w:szCs w:val="19"/>
      <w:b w:val="on"/>
      <w:bCs w:val="on"/>
      <w:i w:val="on"/>
      <w:iCs w:val="on"/>
    </w:rPr>
  </w:style>
  <w:style w:styleId="Para 29" w:type="paragraph">
    <w:name w:val="Para 29"/>
    <w:qFormat/>
    <w:basedOn w:val="Normal"/>
    <w:pPr>
      <w:ind w:firstLineChars="100"/>
    </w:pPr>
    <w:rPr>
      <w:sz w:val="19"/>
      <w:szCs w:val="19"/>
      <w:i w:val="on"/>
      <w:iCs w:val="on"/>
    </w:rPr>
  </w:style>
  <w:style w:styleId="Para 30" w:type="paragraph">
    <w:name w:val="Para 30"/>
    <w:qFormat/>
    <w:basedOn w:val="Normal"/>
    <w:pPr>
      <w:ind w:leftChars="800"/>
    </w:pPr>
    <w:rPr>
      <w:sz w:val="19"/>
      <w:szCs w:val="19"/>
    </w:rPr>
  </w:style>
  <w:style w:styleId="Para 31" w:type="paragraph">
    <w:name w:val="Para 31"/>
    <w:qFormat/>
    <w:basedOn w:val="Normal"/>
    <w:pPr>
      <w:ind w:leftChars="1800"/>
    </w:pPr>
    <w:rPr>
      <w:sz w:val="19"/>
      <w:szCs w:val="19"/>
      <w:b w:val="on"/>
      <w:bCs w:val="on"/>
      <w:i w:val="on"/>
      <w:iCs w:val="on"/>
    </w:rPr>
  </w:style>
  <w:style w:styleId="Para 32" w:type="paragraph">
    <w:name w:val="Para 32"/>
    <w:qFormat/>
    <w:basedOn w:val="Normal"/>
    <w:pPr>
      <w:jc w:val="right"/>
    </w:pPr>
    <w:rPr>
      <w:sz w:val="19"/>
      <w:szCs w:val="19"/>
      <w:b w:val="on"/>
      <w:bCs w:val="on"/>
    </w:rPr>
  </w:style>
  <w:style w:styleId="Para 33" w:type="paragraph">
    <w:name w:val="Para 33"/>
    <w:qFormat/>
    <w:basedOn w:val="Normal"/>
    <w:pPr>
      <w:spacing w:beforeLines="100" w:afterLines="100" w:line="288" w:lineRule="atLeast"/>
      <w:jc w:val="left"/>
    </w:pPr>
    <w:rPr>
      <w:sz w:val="48"/>
      <w:szCs w:val="48"/>
    </w:rPr>
  </w:style>
  <w:style w:styleId="Para 34" w:type="paragraph">
    <w:name w:val="Para 34"/>
    <w:qFormat/>
    <w:basedOn w:val="Normal"/>
    <w:pPr>
      <w:jc w:val="right"/>
    </w:pPr>
    <w:rPr>
      <w:b w:val="on"/>
      <w:bCs w:val="on"/>
      <w:i w:val="on"/>
      <w:iCs w:val="on"/>
    </w:rPr>
  </w:style>
  <w:style w:styleId="Para 35" w:type="paragraph">
    <w:name w:val="Para 35"/>
    <w:qFormat/>
    <w:basedOn w:val="Normal"/>
    <w:pPr>
      <w:spacing w:beforeLines="83" w:afterLines="83" w:line="480" w:lineRule="atLeast"/>
    </w:pPr>
    <w:rPr>
      <w:sz w:val="40"/>
      <w:szCs w:val="40"/>
      <w:b w:val="on"/>
      <w:bCs w:val="on"/>
    </w:rPr>
  </w:style>
  <w:style w:styleId="Para 36" w:type="paragraph">
    <w:name w:val="Para 36"/>
    <w:qFormat/>
    <w:basedOn w:val="Normal"/>
    <w:pPr>
      <w:ind w:leftChars="1300"/>
    </w:pPr>
    <w:rPr>
      <w:sz w:val="19"/>
      <w:szCs w:val="19"/>
      <w:b w:val="on"/>
      <w:bCs w:val="on"/>
      <w:i w:val="on"/>
      <w:iCs w:val="on"/>
    </w:rPr>
  </w:style>
  <w:style w:styleId="Para 37" w:type="paragraph">
    <w:name w:val="Para 37"/>
    <w:qFormat/>
    <w:basedOn w:val="Normal"/>
    <w:pPr>
      <w:ind w:leftChars="400"/>
    </w:pPr>
    <w:rPr>
      <w:sz w:val="19"/>
      <w:szCs w:val="19"/>
    </w:rPr>
  </w:style>
  <w:style w:styleId="Para 38" w:type="paragraph">
    <w:name w:val="Para 38"/>
    <w:qFormat/>
    <w:basedOn w:val="Normal"/>
    <w:pPr>
      <w:ind w:firstLineChars="100"/>
    </w:pPr>
    <w:rPr>
      <w:i w:val="on"/>
      <w:iCs w:val="on"/>
    </w:rPr>
  </w:style>
  <w:style w:styleId="Para 39" w:type="paragraph">
    <w:name w:val="Para 39"/>
    <w:qFormat/>
    <w:basedOn w:val="Normal"/>
    <w:pPr>
      <w:spacing w:beforeLines="100" w:afterLines="100" w:line="288" w:lineRule="atLeast"/>
      <w:jc w:val="left"/>
    </w:pPr>
    <w:rPr>
      <w:sz w:val="48"/>
      <w:szCs w:val="48"/>
      <w:b w:val="on"/>
      <w:bCs w:val="on"/>
      <w:i w:val="on"/>
      <w:iCs w:val="on"/>
    </w:rPr>
  </w:style>
  <w:style w:styleId="Para 40" w:type="paragraph">
    <w:name w:val="Para 40"/>
    <w:qFormat/>
    <w:basedOn w:val="Normal"/>
    <w:pPr>
      <w:ind w:leftChars="700"/>
    </w:pPr>
    <w:rPr>
      <w:sz w:val="31"/>
      <w:szCs w:val="31"/>
    </w:rPr>
  </w:style>
  <w:style w:styleId="Para 41" w:type="paragraph">
    <w:name w:val="Para 41"/>
    <w:qFormat/>
    <w:basedOn w:val="Normal"/>
    <w:pPr>
      <w:jc w:val="right"/>
    </w:pPr>
    <w:rPr>
      <w:sz w:val="48"/>
      <w:szCs w:val="48"/>
      <w:i w:val="on"/>
      <w:iCs w:val="on"/>
    </w:rPr>
  </w:style>
  <w:style w:styleId="Para 42" w:type="paragraph">
    <w:name w:val="Para 42"/>
    <w:qFormat/>
    <w:basedOn w:val="Normal"/>
    <w:pPr>
      <w:spacing w:beforeLines="100" w:afterLines="100" w:line="288" w:lineRule="atLeast"/>
      <w:jc w:val="left"/>
    </w:pPr>
    <w:rPr>
      <w:sz w:val="31"/>
      <w:szCs w:val="31"/>
      <w:b w:val="on"/>
      <w:bCs w:val="on"/>
      <w:i w:val="on"/>
      <w:iCs w:val="on"/>
    </w:rPr>
  </w:style>
  <w:style w:styleId="Para 43" w:type="paragraph">
    <w:name w:val="Para 43"/>
    <w:qFormat/>
    <w:basedOn w:val="Normal"/>
    <w:pPr>
      <w:ind w:leftChars="1100"/>
    </w:pPr>
    <w:rPr>
      <w:sz w:val="19"/>
      <w:szCs w:val="19"/>
      <w:b w:val="on"/>
      <w:bCs w:val="on"/>
      <w:i w:val="on"/>
      <w:iCs w:val="on"/>
    </w:rPr>
  </w:style>
  <w:style w:styleId="Para 44" w:type="paragraph">
    <w:name w:val="Para 44"/>
    <w:qFormat/>
    <w:basedOn w:val="Normal"/>
    <w:pPr>
      <w:ind w:leftChars="1000"/>
    </w:pPr>
    <w:rPr>
      <w:sz w:val="19"/>
      <w:szCs w:val="19"/>
    </w:rPr>
  </w:style>
  <w:style w:styleId="Para 45" w:type="paragraph">
    <w:name w:val="Para 45"/>
    <w:qFormat/>
    <w:basedOn w:val="Normal"/>
    <w:pPr>
      <w:ind w:leftChars="1700"/>
    </w:pPr>
    <w:rPr>
      <w:sz w:val="19"/>
      <w:szCs w:val="19"/>
      <w:b w:val="on"/>
      <w:bCs w:val="on"/>
      <w:i w:val="on"/>
      <w:iCs w:val="on"/>
    </w:rPr>
  </w:style>
  <w:style w:styleId="Para 46" w:type="paragraph">
    <w:name w:val="Para 46"/>
    <w:qFormat/>
    <w:basedOn w:val="Normal"/>
    <w:pPr>
      <w:ind w:leftChars="1200"/>
    </w:pPr>
    <w:rPr>
      <w:sz w:val="19"/>
      <w:szCs w:val="19"/>
    </w:rPr>
  </w:style>
  <w:style w:styleId="Para 47" w:type="paragraph">
    <w:name w:val="Para 47"/>
    <w:qFormat/>
    <w:basedOn w:val="Normal"/>
    <w:pPr>
      <w:spacing w:beforeLines="100" w:afterLines="100" w:line="288" w:lineRule="atLeast"/>
      <w:jc w:val="left"/>
    </w:pPr>
    <w:rPr>
      <w:i w:val="on"/>
      <w:iCs w:val="on"/>
    </w:rPr>
  </w:style>
  <w:style w:styleId="Para 48" w:type="paragraph">
    <w:name w:val="Para 48"/>
    <w:qFormat/>
    <w:basedOn w:val="Normal"/>
    <w:pPr>
      <w:ind w:leftChars="300"/>
    </w:pPr>
    <w:rPr>
      <w:i w:val="on"/>
      <w:iCs w:val="on"/>
    </w:rPr>
  </w:style>
  <w:style w:styleId="Para 49" w:type="paragraph">
    <w:name w:val="Para 49"/>
    <w:qFormat/>
    <w:basedOn w:val="Normal"/>
    <w:pPr>
      <w:ind w:leftChars="700"/>
    </w:pPr>
    <w:rPr>
      <w:sz w:val="19"/>
      <w:szCs w:val="19"/>
    </w:rPr>
  </w:style>
  <w:style w:styleId="Text0" w:type="character">
    <w:name w:val="0 Text"/>
    <w:rPr>
      <w:i w:val="on"/>
      <w:iCs w:val="on"/>
    </w:rPr>
  </w:style>
  <w:style w:styleId="Text1" w:type="character">
    <w:name w:val="1 Text"/>
    <w:rPr>
      <w:sz w:val="19"/>
      <w:szCs w:val="19"/>
      <w:b w:val="on"/>
      <w:bCs w:val="on"/>
    </w:rPr>
  </w:style>
  <w:style w:styleId="Text2" w:type="character">
    <w:name w:val="2 Text"/>
    <w:rPr>
      <w:sz w:val="24"/>
      <w:szCs w:val="24"/>
    </w:rPr>
  </w:style>
  <w:style w:styleId="Text3" w:type="character">
    <w:name w:val="3 Text"/>
    <w:rPr>
      <w:b w:val="on"/>
      <w:bCs w:val="on"/>
    </w:rPr>
  </w:style>
  <w:style w:styleId="Text4" w:type="character">
    <w:name w:val="4 Text"/>
    <w:rPr>
      <w:sz w:val="18"/>
      <w:szCs w:val="18"/>
    </w:rPr>
  </w:style>
  <w:style w:styleId="Text5" w:type="character">
    <w:name w:val="5 Text"/>
    <w:rPr>
      <w:sz w:val="24"/>
      <w:szCs w:val="24"/>
      <w:b w:val="on"/>
      <w:bCs w:val="on"/>
    </w:rPr>
  </w:style>
  <w:style w:styleId="Text6" w:type="character">
    <w:name w:val="6 Text"/>
    <w:rPr>
      <w:sz w:val="19"/>
      <w:szCs w:val="19"/>
      <w:b w:val="on"/>
      <w:bCs w:val="on"/>
      <w:i w:val="on"/>
      <w:iCs w:val="on"/>
    </w:rPr>
  </w:style>
  <w:style w:styleId="Text7" w:type="character">
    <w:name w:val="7 Text"/>
    <w:rPr>
      <w:sz w:val="40"/>
      <w:szCs w:val="40"/>
      <w:b w:val="on"/>
      <w:bCs w:val="on"/>
      <w:i w:val="on"/>
      <w:iCs w:val="on"/>
    </w:rPr>
  </w:style>
  <w:style w:styleId="Text8" w:type="character">
    <w:name w:val="8 Text"/>
    <w:rPr>
      <w:sz w:val="24"/>
      <w:szCs w:val="24"/>
      <w:b w:val="on"/>
      <w:bCs w:val="on"/>
      <w:i w:val="on"/>
      <w:iCs w:val="on"/>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png"/><Relationship Id="rId6" Type="http://schemas.openxmlformats.org/officeDocument/2006/relationships/image" Target="media/index-2_1.png"/><Relationship Id="rId7" Type="http://schemas.openxmlformats.org/officeDocument/2006/relationships/image" Target="media/index-2_2.png"/><Relationship Id="rId8" Type="http://schemas.openxmlformats.org/officeDocument/2006/relationships/image" Target="media/index-3_1.png"/><Relationship Id="rId9" Type="http://schemas.openxmlformats.org/officeDocument/2006/relationships/image" Target="media/index-3_2.png"/><Relationship Id="rId10" Type="http://schemas.openxmlformats.org/officeDocument/2006/relationships/image" Target="media/index-4_1.png"/><Relationship Id="rId11" Type="http://schemas.openxmlformats.org/officeDocument/2006/relationships/image" Target="media/index-4_2.png"/><Relationship Id="rId12" Type="http://schemas.openxmlformats.org/officeDocument/2006/relationships/image" Target="media/index-5_1.png"/><Relationship Id="rId13" Type="http://schemas.openxmlformats.org/officeDocument/2006/relationships/image" Target="media/index-5_2.png"/><Relationship Id="rId14" Type="http://schemas.openxmlformats.org/officeDocument/2006/relationships/image" Target="media/index-6_1.png"/><Relationship Id="rId15" Type="http://schemas.openxmlformats.org/officeDocument/2006/relationships/image" Target="media/index-6_2.png"/><Relationship Id="rId16" Type="http://schemas.openxmlformats.org/officeDocument/2006/relationships/image" Target="media/index-7_1.png"/><Relationship Id="rId17" Type="http://schemas.openxmlformats.org/officeDocument/2006/relationships/image" Target="media/index-7_2.png"/><Relationship Id="rId18" Type="http://schemas.openxmlformats.org/officeDocument/2006/relationships/image" Target="media/index-8_1.png"/><Relationship Id="rId19" Type="http://schemas.openxmlformats.org/officeDocument/2006/relationships/image" Target="media/index-8_2.png"/><Relationship Id="rId20" Type="http://schemas.openxmlformats.org/officeDocument/2006/relationships/image" Target="media/index-9_1.png"/><Relationship Id="rId21" Type="http://schemas.openxmlformats.org/officeDocument/2006/relationships/image" Target="media/index-9_2.png"/><Relationship Id="rId22" Type="http://schemas.openxmlformats.org/officeDocument/2006/relationships/image" Target="media/index-10_1.png"/><Relationship Id="rId23" Type="http://schemas.openxmlformats.org/officeDocument/2006/relationships/image" Target="media/index-10_2.png"/><Relationship Id="rId24" Type="http://schemas.openxmlformats.org/officeDocument/2006/relationships/image" Target="media/index-11_1.png"/><Relationship Id="rId25" Type="http://schemas.openxmlformats.org/officeDocument/2006/relationships/image" Target="media/index-11_2.png"/><Relationship Id="rId26" Type="http://schemas.openxmlformats.org/officeDocument/2006/relationships/image" Target="media/index-12_1.png"/><Relationship Id="rId27" Type="http://schemas.openxmlformats.org/officeDocument/2006/relationships/image" Target="media/index-12_2.png"/><Relationship Id="rId28" Type="http://schemas.openxmlformats.org/officeDocument/2006/relationships/image" Target="media/index-13_1.png"/><Relationship Id="rId29" Type="http://schemas.openxmlformats.org/officeDocument/2006/relationships/image" Target="media/index-13_2.png"/><Relationship Id="rId30" Type="http://schemas.openxmlformats.org/officeDocument/2006/relationships/image" Target="media/index-14_1.png"/><Relationship Id="rId31" Type="http://schemas.openxmlformats.org/officeDocument/2006/relationships/image" Target="media/index-14_2.png"/><Relationship Id="rId32" Type="http://schemas.openxmlformats.org/officeDocument/2006/relationships/image" Target="media/index-15_1.png"/><Relationship Id="rId33" Type="http://schemas.openxmlformats.org/officeDocument/2006/relationships/image" Target="media/index-15_2.png"/><Relationship Id="rId34" Type="http://schemas.openxmlformats.org/officeDocument/2006/relationships/image" Target="media/index-16_1.png"/><Relationship Id="rId35" Type="http://schemas.openxmlformats.org/officeDocument/2006/relationships/image" Target="media/index-16_2.png"/><Relationship Id="rId36" Type="http://schemas.openxmlformats.org/officeDocument/2006/relationships/image" Target="media/index-17_1.png"/><Relationship Id="rId37" Type="http://schemas.openxmlformats.org/officeDocument/2006/relationships/image" Target="media/index-17_2.png"/><Relationship Id="rId38" Type="http://schemas.openxmlformats.org/officeDocument/2006/relationships/image" Target="media/index-18_1.png"/><Relationship Id="rId39" Type="http://schemas.openxmlformats.org/officeDocument/2006/relationships/image" Target="media/index-18_2.png"/><Relationship Id="rId40" Type="http://schemas.openxmlformats.org/officeDocument/2006/relationships/image" Target="media/index-19_1.png"/><Relationship Id="rId41" Type="http://schemas.openxmlformats.org/officeDocument/2006/relationships/image" Target="media/index-19_2.png"/><Relationship Id="rId42" Type="http://schemas.openxmlformats.org/officeDocument/2006/relationships/image" Target="media/index-20_1.png"/><Relationship Id="rId43" Type="http://schemas.openxmlformats.org/officeDocument/2006/relationships/image" Target="media/index-20_2.png"/><Relationship Id="rId44" Type="http://schemas.openxmlformats.org/officeDocument/2006/relationships/image" Target="media/index-20_3.png"/><Relationship Id="rId45" Type="http://schemas.openxmlformats.org/officeDocument/2006/relationships/image" Target="media/index-21_1.png"/><Relationship Id="rId46" Type="http://schemas.openxmlformats.org/officeDocument/2006/relationships/image" Target="media/index-21_2.png"/><Relationship Id="rId47" Type="http://schemas.openxmlformats.org/officeDocument/2006/relationships/image" Target="media/index-22_1.png"/><Relationship Id="rId48" Type="http://schemas.openxmlformats.org/officeDocument/2006/relationships/image" Target="media/index-22_2.png"/><Relationship Id="rId49" Type="http://schemas.openxmlformats.org/officeDocument/2006/relationships/image" Target="media/index-23_1.png"/><Relationship Id="rId50" Type="http://schemas.openxmlformats.org/officeDocument/2006/relationships/image" Target="media/index-23_2.png"/><Relationship Id="rId51" Type="http://schemas.openxmlformats.org/officeDocument/2006/relationships/image" Target="media/index-24_1.png"/><Relationship Id="rId52" Type="http://schemas.openxmlformats.org/officeDocument/2006/relationships/image" Target="media/index-24_2.png"/><Relationship Id="rId53" Type="http://schemas.openxmlformats.org/officeDocument/2006/relationships/image" Target="media/index-25_1.png"/><Relationship Id="rId54" Type="http://schemas.openxmlformats.org/officeDocument/2006/relationships/image" Target="media/index-25_2.png"/><Relationship Id="rId55" Type="http://schemas.openxmlformats.org/officeDocument/2006/relationships/image" Target="media/index-26_1.png"/><Relationship Id="rId56" Type="http://schemas.openxmlformats.org/officeDocument/2006/relationships/image" Target="media/index-26_2.png"/><Relationship Id="rId57" Type="http://schemas.openxmlformats.org/officeDocument/2006/relationships/image" Target="media/index-27_1.png"/><Relationship Id="rId58" Type="http://schemas.openxmlformats.org/officeDocument/2006/relationships/image" Target="media/index-27_2.png"/><Relationship Id="rId59" Type="http://schemas.openxmlformats.org/officeDocument/2006/relationships/image" Target="media/index-28_1.png"/><Relationship Id="rId60" Type="http://schemas.openxmlformats.org/officeDocument/2006/relationships/image" Target="media/index-28_2.png"/><Relationship Id="rId61" Type="http://schemas.openxmlformats.org/officeDocument/2006/relationships/image" Target="media/index-28_3.png"/><Relationship Id="rId62" Type="http://schemas.openxmlformats.org/officeDocument/2006/relationships/image" Target="media/index-29_1.png"/><Relationship Id="rId63" Type="http://schemas.openxmlformats.org/officeDocument/2006/relationships/image" Target="media/index-29_2.png"/><Relationship Id="rId64" Type="http://schemas.openxmlformats.org/officeDocument/2006/relationships/image" Target="media/index-30_1.png"/><Relationship Id="rId65" Type="http://schemas.openxmlformats.org/officeDocument/2006/relationships/image" Target="media/index-30_2.png"/><Relationship Id="rId66" Type="http://schemas.openxmlformats.org/officeDocument/2006/relationships/image" Target="media/index-31_1.png"/><Relationship Id="rId67" Type="http://schemas.openxmlformats.org/officeDocument/2006/relationships/image" Target="media/index-31_2.png"/><Relationship Id="rId68" Type="http://schemas.openxmlformats.org/officeDocument/2006/relationships/image" Target="media/index-32_1.jpeg"/><Relationship Id="rId69" Type="http://schemas.openxmlformats.org/officeDocument/2006/relationships/image" Target="media/index-32_2.png"/><Relationship Id="rId70" Type="http://schemas.openxmlformats.org/officeDocument/2006/relationships/image" Target="media/index-32_3.png"/><Relationship Id="rId71" Type="http://schemas.openxmlformats.org/officeDocument/2006/relationships/image" Target="media/index-33_1.png"/><Relationship Id="rId72" Type="http://schemas.openxmlformats.org/officeDocument/2006/relationships/image" Target="media/index-33_2.png"/><Relationship Id="rId73" Type="http://schemas.openxmlformats.org/officeDocument/2006/relationships/image" Target="media/index-33_3.png"/><Relationship Id="rId74" Type="http://schemas.openxmlformats.org/officeDocument/2006/relationships/image" Target="media/index-34_1.png"/><Relationship Id="rId75" Type="http://schemas.openxmlformats.org/officeDocument/2006/relationships/image" Target="media/index-34_2.png"/><Relationship Id="rId76" Type="http://schemas.openxmlformats.org/officeDocument/2006/relationships/image" Target="media/index-35_1.png"/><Relationship Id="rId77" Type="http://schemas.openxmlformats.org/officeDocument/2006/relationships/image" Target="media/index-35_2.png"/><Relationship Id="rId78" Type="http://schemas.openxmlformats.org/officeDocument/2006/relationships/image" Target="media/index-36_1.png"/><Relationship Id="rId79" Type="http://schemas.openxmlformats.org/officeDocument/2006/relationships/image" Target="media/index-36_2.png"/><Relationship Id="rId80" Type="http://schemas.openxmlformats.org/officeDocument/2006/relationships/image" Target="media/index-37_1.png"/><Relationship Id="rId81" Type="http://schemas.openxmlformats.org/officeDocument/2006/relationships/image" Target="media/index-37_2.png"/><Relationship Id="rId82" Type="http://schemas.openxmlformats.org/officeDocument/2006/relationships/image" Target="media/index-38_1.png"/><Relationship Id="rId83" Type="http://schemas.openxmlformats.org/officeDocument/2006/relationships/image" Target="media/index-38_2.png"/><Relationship Id="rId84" Type="http://schemas.openxmlformats.org/officeDocument/2006/relationships/image" Target="media/index-39_1.png"/><Relationship Id="rId85" Type="http://schemas.openxmlformats.org/officeDocument/2006/relationships/image" Target="media/index-39_2.png"/><Relationship Id="rId86" Type="http://schemas.openxmlformats.org/officeDocument/2006/relationships/image" Target="media/index-40_1.png"/><Relationship Id="rId87" Type="http://schemas.openxmlformats.org/officeDocument/2006/relationships/image" Target="media/index-40_2.png"/><Relationship Id="rId88" Type="http://schemas.openxmlformats.org/officeDocument/2006/relationships/image" Target="media/index-40_3.png"/><Relationship Id="rId89" Type="http://schemas.openxmlformats.org/officeDocument/2006/relationships/image" Target="media/index-41_1.png"/><Relationship Id="rId90" Type="http://schemas.openxmlformats.org/officeDocument/2006/relationships/image" Target="media/index-41_2.png"/><Relationship Id="rId91" Type="http://schemas.openxmlformats.org/officeDocument/2006/relationships/image" Target="media/index-42_1.png"/><Relationship Id="rId92" Type="http://schemas.openxmlformats.org/officeDocument/2006/relationships/image" Target="media/index-42_2.png"/><Relationship Id="rId93" Type="http://schemas.openxmlformats.org/officeDocument/2006/relationships/image" Target="media/index-42_3.png"/><Relationship Id="rId94" Type="http://schemas.openxmlformats.org/officeDocument/2006/relationships/image" Target="media/index-43_1.png"/><Relationship Id="rId95" Type="http://schemas.openxmlformats.org/officeDocument/2006/relationships/image" Target="media/index-43_2.png"/><Relationship Id="rId96" Type="http://schemas.openxmlformats.org/officeDocument/2006/relationships/image" Target="media/index-43_3.png"/><Relationship Id="rId97" Type="http://schemas.openxmlformats.org/officeDocument/2006/relationships/image" Target="media/index-44_1.png"/><Relationship Id="rId98" Type="http://schemas.openxmlformats.org/officeDocument/2006/relationships/image" Target="media/index-44_2.png"/><Relationship Id="rId99" Type="http://schemas.openxmlformats.org/officeDocument/2006/relationships/image" Target="media/index-45_1.png"/><Relationship Id="rId100" Type="http://schemas.openxmlformats.org/officeDocument/2006/relationships/image" Target="media/index-45_2.png"/><Relationship Id="rId101" Type="http://schemas.openxmlformats.org/officeDocument/2006/relationships/image" Target="media/index-46_1.png"/><Relationship Id="rId102" Type="http://schemas.openxmlformats.org/officeDocument/2006/relationships/image" Target="media/index-46_2.png"/><Relationship Id="rId103" Type="http://schemas.openxmlformats.org/officeDocument/2006/relationships/image" Target="media/index-46_3.png"/><Relationship Id="rId104" Type="http://schemas.openxmlformats.org/officeDocument/2006/relationships/image" Target="media/index-47_1.png"/><Relationship Id="rId105" Type="http://schemas.openxmlformats.org/officeDocument/2006/relationships/image" Target="media/index-47_2.png"/><Relationship Id="rId106" Type="http://schemas.openxmlformats.org/officeDocument/2006/relationships/image" Target="media/index-48_1.png"/><Relationship Id="rId107" Type="http://schemas.openxmlformats.org/officeDocument/2006/relationships/image" Target="media/index-48_2.png"/><Relationship Id="rId108" Type="http://schemas.openxmlformats.org/officeDocument/2006/relationships/image" Target="media/index-49_1.png"/><Relationship Id="rId109" Type="http://schemas.openxmlformats.org/officeDocument/2006/relationships/image" Target="media/index-49_2.png"/><Relationship Id="rId110" Type="http://schemas.openxmlformats.org/officeDocument/2006/relationships/image" Target="media/index-50_1.png"/><Relationship Id="rId111" Type="http://schemas.openxmlformats.org/officeDocument/2006/relationships/image" Target="media/index-50_2.png"/><Relationship Id="rId112" Type="http://schemas.openxmlformats.org/officeDocument/2006/relationships/image" Target="media/index-51_1.png"/><Relationship Id="rId113" Type="http://schemas.openxmlformats.org/officeDocument/2006/relationships/image" Target="media/index-51_2.png"/><Relationship Id="rId114" Type="http://schemas.openxmlformats.org/officeDocument/2006/relationships/image" Target="media/index-52_1.png"/><Relationship Id="rId115" Type="http://schemas.openxmlformats.org/officeDocument/2006/relationships/image" Target="media/index-52_2.png"/><Relationship Id="rId116" Type="http://schemas.openxmlformats.org/officeDocument/2006/relationships/image" Target="media/index-53_1.png"/><Relationship Id="rId117" Type="http://schemas.openxmlformats.org/officeDocument/2006/relationships/image" Target="media/index-53_2.png"/><Relationship Id="rId118" Type="http://schemas.openxmlformats.org/officeDocument/2006/relationships/image" Target="media/index-53_3.png"/><Relationship Id="rId119" Type="http://schemas.openxmlformats.org/officeDocument/2006/relationships/image" Target="media/index-54_1.png"/><Relationship Id="rId120" Type="http://schemas.openxmlformats.org/officeDocument/2006/relationships/image" Target="media/index-54_2.png"/><Relationship Id="rId121" Type="http://schemas.openxmlformats.org/officeDocument/2006/relationships/image" Target="media/index-55_1.png"/><Relationship Id="rId122" Type="http://schemas.openxmlformats.org/officeDocument/2006/relationships/image" Target="media/index-55_2.png"/><Relationship Id="rId123" Type="http://schemas.openxmlformats.org/officeDocument/2006/relationships/image" Target="media/index-55_3.png"/><Relationship Id="rId124" Type="http://schemas.openxmlformats.org/officeDocument/2006/relationships/image" Target="media/index-56_1.png"/><Relationship Id="rId125" Type="http://schemas.openxmlformats.org/officeDocument/2006/relationships/image" Target="media/index-56_2.png"/><Relationship Id="rId126" Type="http://schemas.openxmlformats.org/officeDocument/2006/relationships/image" Target="media/index-57_1.png"/><Relationship Id="rId127" Type="http://schemas.openxmlformats.org/officeDocument/2006/relationships/image" Target="media/index-57_2.png"/><Relationship Id="rId128" Type="http://schemas.openxmlformats.org/officeDocument/2006/relationships/image" Target="media/index-58_1.png"/><Relationship Id="rId129" Type="http://schemas.openxmlformats.org/officeDocument/2006/relationships/image" Target="media/index-58_2.png"/><Relationship Id="rId130" Type="http://schemas.openxmlformats.org/officeDocument/2006/relationships/image" Target="media/index-58_3.png"/><Relationship Id="rId131" Type="http://schemas.openxmlformats.org/officeDocument/2006/relationships/image" Target="media/index-58_4.png"/><Relationship Id="rId132" Type="http://schemas.openxmlformats.org/officeDocument/2006/relationships/image" Target="media/index-58_5.png"/><Relationship Id="rId133" Type="http://schemas.openxmlformats.org/officeDocument/2006/relationships/image" Target="media/index-59_1.png"/><Relationship Id="rId134" Type="http://schemas.openxmlformats.org/officeDocument/2006/relationships/image" Target="media/index-59_2.png"/><Relationship Id="rId135" Type="http://schemas.openxmlformats.org/officeDocument/2006/relationships/image" Target="media/index-59_3.png"/><Relationship Id="rId136" Type="http://schemas.openxmlformats.org/officeDocument/2006/relationships/image" Target="media/index-60_1.png"/><Relationship Id="rId137" Type="http://schemas.openxmlformats.org/officeDocument/2006/relationships/image" Target="media/index-60_2.png"/><Relationship Id="rId138" Type="http://schemas.openxmlformats.org/officeDocument/2006/relationships/image" Target="media/index-61_1.png"/><Relationship Id="rId139" Type="http://schemas.openxmlformats.org/officeDocument/2006/relationships/image" Target="media/index-61_2.png"/><Relationship Id="rId140" Type="http://schemas.openxmlformats.org/officeDocument/2006/relationships/image" Target="media/index-62_1.png"/><Relationship Id="rId141" Type="http://schemas.openxmlformats.org/officeDocument/2006/relationships/image" Target="media/index-62_2.png"/><Relationship Id="rId142" Type="http://schemas.openxmlformats.org/officeDocument/2006/relationships/image" Target="media/index-63_1.png"/><Relationship Id="rId143" Type="http://schemas.openxmlformats.org/officeDocument/2006/relationships/image" Target="media/index-63_2.png"/><Relationship Id="rId144" Type="http://schemas.openxmlformats.org/officeDocument/2006/relationships/image" Target="media/index-64_1.png"/><Relationship Id="rId145" Type="http://schemas.openxmlformats.org/officeDocument/2006/relationships/image" Target="media/index-64_2.png"/><Relationship Id="rId146" Type="http://schemas.openxmlformats.org/officeDocument/2006/relationships/image" Target="media/index-65_1.png"/><Relationship Id="rId147" Type="http://schemas.openxmlformats.org/officeDocument/2006/relationships/image" Target="media/index-65_2.png"/><Relationship Id="rId148" Type="http://schemas.openxmlformats.org/officeDocument/2006/relationships/image" Target="media/index-65_3.png"/><Relationship Id="rId149" Type="http://schemas.openxmlformats.org/officeDocument/2006/relationships/image" Target="media/index-66_1.png"/><Relationship Id="rId150" Type="http://schemas.openxmlformats.org/officeDocument/2006/relationships/image" Target="media/index-66_2.png"/><Relationship Id="rId151" Type="http://schemas.openxmlformats.org/officeDocument/2006/relationships/image" Target="media/index-67_1.png"/><Relationship Id="rId152" Type="http://schemas.openxmlformats.org/officeDocument/2006/relationships/image" Target="media/index-67_2.png"/><Relationship Id="rId153" Type="http://schemas.openxmlformats.org/officeDocument/2006/relationships/image" Target="media/index-68_1.png"/><Relationship Id="rId154" Type="http://schemas.openxmlformats.org/officeDocument/2006/relationships/image" Target="media/index-68_2.png"/><Relationship Id="rId155" Type="http://schemas.openxmlformats.org/officeDocument/2006/relationships/image" Target="media/index-68_3.png"/><Relationship Id="rId156" Type="http://schemas.openxmlformats.org/officeDocument/2006/relationships/image" Target="media/index-69_1.png"/><Relationship Id="rId157" Type="http://schemas.openxmlformats.org/officeDocument/2006/relationships/image" Target="media/index-69_2.png"/><Relationship Id="rId158" Type="http://schemas.openxmlformats.org/officeDocument/2006/relationships/image" Target="media/index-69_3.png"/><Relationship Id="rId159" Type="http://schemas.openxmlformats.org/officeDocument/2006/relationships/image" Target="media/index-70_1.png"/><Relationship Id="rId160" Type="http://schemas.openxmlformats.org/officeDocument/2006/relationships/image" Target="media/index-70_2.png"/><Relationship Id="rId161" Type="http://schemas.openxmlformats.org/officeDocument/2006/relationships/image" Target="media/index-71_1.png"/><Relationship Id="rId162" Type="http://schemas.openxmlformats.org/officeDocument/2006/relationships/image" Target="media/index-71_2.png"/><Relationship Id="rId163" Type="http://schemas.openxmlformats.org/officeDocument/2006/relationships/image" Target="media/index-71_3.png"/><Relationship Id="rId164" Type="http://schemas.openxmlformats.org/officeDocument/2006/relationships/image" Target="media/index-71_4.png"/><Relationship Id="rId165" Type="http://schemas.openxmlformats.org/officeDocument/2006/relationships/image" Target="media/index-72_1.png"/><Relationship Id="rId166" Type="http://schemas.openxmlformats.org/officeDocument/2006/relationships/image" Target="media/index-72_2.png"/><Relationship Id="rId167" Type="http://schemas.openxmlformats.org/officeDocument/2006/relationships/image" Target="media/index-73_1.png"/><Relationship Id="rId168" Type="http://schemas.openxmlformats.org/officeDocument/2006/relationships/image" Target="media/index-73_2.png"/><Relationship Id="rId169" Type="http://schemas.openxmlformats.org/officeDocument/2006/relationships/image" Target="media/index-74_1.png"/><Relationship Id="rId170" Type="http://schemas.openxmlformats.org/officeDocument/2006/relationships/image" Target="media/index-74_2.png"/><Relationship Id="rId171" Type="http://schemas.openxmlformats.org/officeDocument/2006/relationships/image" Target="media/index-74_3.png"/><Relationship Id="rId172" Type="http://schemas.openxmlformats.org/officeDocument/2006/relationships/image" Target="media/index-75_1.png"/><Relationship Id="rId173" Type="http://schemas.openxmlformats.org/officeDocument/2006/relationships/image" Target="media/index-75_2.png"/><Relationship Id="rId174" Type="http://schemas.openxmlformats.org/officeDocument/2006/relationships/image" Target="media/index-76_1.png"/><Relationship Id="rId175" Type="http://schemas.openxmlformats.org/officeDocument/2006/relationships/image" Target="media/index-76_2.png"/><Relationship Id="rId176" Type="http://schemas.openxmlformats.org/officeDocument/2006/relationships/image" Target="media/index-77_1.png"/><Relationship Id="rId177" Type="http://schemas.openxmlformats.org/officeDocument/2006/relationships/image" Target="media/index-77_2.png"/><Relationship Id="rId178" Type="http://schemas.openxmlformats.org/officeDocument/2006/relationships/image" Target="media/index-77_3.png"/><Relationship Id="rId179" Type="http://schemas.openxmlformats.org/officeDocument/2006/relationships/image" Target="media/index-78_1.png"/><Relationship Id="rId180" Type="http://schemas.openxmlformats.org/officeDocument/2006/relationships/image" Target="media/index-78_2.png"/><Relationship Id="rId181" Type="http://schemas.openxmlformats.org/officeDocument/2006/relationships/image" Target="media/index-79_1.png"/><Relationship Id="rId182" Type="http://schemas.openxmlformats.org/officeDocument/2006/relationships/image" Target="media/index-79_2.png"/><Relationship Id="rId183" Type="http://schemas.openxmlformats.org/officeDocument/2006/relationships/image" Target="media/index-80_1.png"/><Relationship Id="rId184" Type="http://schemas.openxmlformats.org/officeDocument/2006/relationships/image" Target="media/index-80_2.png"/><Relationship Id="rId185" Type="http://schemas.openxmlformats.org/officeDocument/2006/relationships/image" Target="media/index-81_1.png"/><Relationship Id="rId186" Type="http://schemas.openxmlformats.org/officeDocument/2006/relationships/image" Target="media/index-81_2.png"/><Relationship Id="rId187" Type="http://schemas.openxmlformats.org/officeDocument/2006/relationships/image" Target="media/index-81_3.png"/><Relationship Id="rId188" Type="http://schemas.openxmlformats.org/officeDocument/2006/relationships/image" Target="media/index-82_1.png"/><Relationship Id="rId189" Type="http://schemas.openxmlformats.org/officeDocument/2006/relationships/image" Target="media/index-82_2.png"/><Relationship Id="rId190" Type="http://schemas.openxmlformats.org/officeDocument/2006/relationships/image" Target="media/index-82_3.png"/><Relationship Id="rId191" Type="http://schemas.openxmlformats.org/officeDocument/2006/relationships/image" Target="media/index-83_1.png"/><Relationship Id="rId192" Type="http://schemas.openxmlformats.org/officeDocument/2006/relationships/image" Target="media/index-83_2.png"/><Relationship Id="rId193" Type="http://schemas.openxmlformats.org/officeDocument/2006/relationships/image" Target="media/index-83_3.png"/><Relationship Id="rId194" Type="http://schemas.openxmlformats.org/officeDocument/2006/relationships/image" Target="media/index-84_1.png"/><Relationship Id="rId195" Type="http://schemas.openxmlformats.org/officeDocument/2006/relationships/image" Target="media/index-84_2.png"/><Relationship Id="rId196" Type="http://schemas.openxmlformats.org/officeDocument/2006/relationships/image" Target="media/index-84_3.png"/><Relationship Id="rId197" Type="http://schemas.openxmlformats.org/officeDocument/2006/relationships/image" Target="media/index-84_4.png"/><Relationship Id="rId198" Type="http://schemas.openxmlformats.org/officeDocument/2006/relationships/image" Target="media/index-85_1.png"/><Relationship Id="rId199" Type="http://schemas.openxmlformats.org/officeDocument/2006/relationships/image" Target="media/index-85_2.png"/><Relationship Id="rId200" Type="http://schemas.openxmlformats.org/officeDocument/2006/relationships/image" Target="media/index-85_3.png"/><Relationship Id="rId201" Type="http://schemas.openxmlformats.org/officeDocument/2006/relationships/image" Target="media/index-86_1.png"/><Relationship Id="rId202" Type="http://schemas.openxmlformats.org/officeDocument/2006/relationships/image" Target="media/index-86_2.png"/><Relationship Id="rId203" Type="http://schemas.openxmlformats.org/officeDocument/2006/relationships/image" Target="media/index-87_1.png"/><Relationship Id="rId204" Type="http://schemas.openxmlformats.org/officeDocument/2006/relationships/image" Target="media/index-87_2.png"/><Relationship Id="rId205" Type="http://schemas.openxmlformats.org/officeDocument/2006/relationships/image" Target="media/index-88_1.png"/><Relationship Id="rId206" Type="http://schemas.openxmlformats.org/officeDocument/2006/relationships/image" Target="media/index-88_2.png"/><Relationship Id="rId207" Type="http://schemas.openxmlformats.org/officeDocument/2006/relationships/image" Target="media/index-88_3.png"/><Relationship Id="rId208" Type="http://schemas.openxmlformats.org/officeDocument/2006/relationships/image" Target="media/index-89_1.png"/><Relationship Id="rId209" Type="http://schemas.openxmlformats.org/officeDocument/2006/relationships/image" Target="media/index-89_2.png"/><Relationship Id="rId210" Type="http://schemas.openxmlformats.org/officeDocument/2006/relationships/image" Target="media/index-89_3.png"/><Relationship Id="rId211" Type="http://schemas.openxmlformats.org/officeDocument/2006/relationships/image" Target="media/index-90_1.png"/><Relationship Id="rId212" Type="http://schemas.openxmlformats.org/officeDocument/2006/relationships/image" Target="media/index-90_2.png"/><Relationship Id="rId213" Type="http://schemas.openxmlformats.org/officeDocument/2006/relationships/image" Target="media/index-91_1.png"/><Relationship Id="rId214" Type="http://schemas.openxmlformats.org/officeDocument/2006/relationships/image" Target="media/index-91_2.png"/><Relationship Id="rId215" Type="http://schemas.openxmlformats.org/officeDocument/2006/relationships/image" Target="media/index-91_3.png"/><Relationship Id="rId216" Type="http://schemas.openxmlformats.org/officeDocument/2006/relationships/image" Target="media/index-92_1.png"/><Relationship Id="rId217" Type="http://schemas.openxmlformats.org/officeDocument/2006/relationships/image" Target="media/index-92_2.png"/><Relationship Id="rId218" Type="http://schemas.openxmlformats.org/officeDocument/2006/relationships/image" Target="media/index-93_1.png"/><Relationship Id="rId219" Type="http://schemas.openxmlformats.org/officeDocument/2006/relationships/image" Target="media/index-93_2.png"/><Relationship Id="rId220" Type="http://schemas.openxmlformats.org/officeDocument/2006/relationships/image" Target="media/index-94_1.png"/><Relationship Id="rId221" Type="http://schemas.openxmlformats.org/officeDocument/2006/relationships/image" Target="media/index-94_2.png"/><Relationship Id="rId222" Type="http://schemas.openxmlformats.org/officeDocument/2006/relationships/image" Target="media/index-95_1.png"/><Relationship Id="rId223" Type="http://schemas.openxmlformats.org/officeDocument/2006/relationships/image" Target="media/index-95_2.png"/><Relationship Id="rId224" Type="http://schemas.openxmlformats.org/officeDocument/2006/relationships/image" Target="media/index-96_1.png"/><Relationship Id="rId225" Type="http://schemas.openxmlformats.org/officeDocument/2006/relationships/image" Target="media/index-96_2.png"/><Relationship Id="rId226" Type="http://schemas.openxmlformats.org/officeDocument/2006/relationships/image" Target="media/index-97_1.png"/><Relationship Id="rId227" Type="http://schemas.openxmlformats.org/officeDocument/2006/relationships/image" Target="media/index-97_2.png"/><Relationship Id="rId228" Type="http://schemas.openxmlformats.org/officeDocument/2006/relationships/image" Target="media/index-98_1.png"/><Relationship Id="rId229" Type="http://schemas.openxmlformats.org/officeDocument/2006/relationships/image" Target="media/index-98_2.png"/><Relationship Id="rId230" Type="http://schemas.openxmlformats.org/officeDocument/2006/relationships/image" Target="media/index-99_1.png"/><Relationship Id="rId231" Type="http://schemas.openxmlformats.org/officeDocument/2006/relationships/image" Target="media/index-99_2.png"/><Relationship Id="rId232" Type="http://schemas.openxmlformats.org/officeDocument/2006/relationships/image" Target="media/index-99_3.png"/><Relationship Id="rId233" Type="http://schemas.openxmlformats.org/officeDocument/2006/relationships/image" Target="media/index-100_1.png"/><Relationship Id="rId234" Type="http://schemas.openxmlformats.org/officeDocument/2006/relationships/image" Target="media/index-100_2.png"/><Relationship Id="rId235" Type="http://schemas.openxmlformats.org/officeDocument/2006/relationships/image" Target="media/index-101_1.png"/><Relationship Id="rId236" Type="http://schemas.openxmlformats.org/officeDocument/2006/relationships/image" Target="media/index-101_2.png"/><Relationship Id="rId237" Type="http://schemas.openxmlformats.org/officeDocument/2006/relationships/image" Target="media/index-102_1.png"/><Relationship Id="rId238" Type="http://schemas.openxmlformats.org/officeDocument/2006/relationships/image" Target="media/index-102_2.png"/><Relationship Id="rId239" Type="http://schemas.openxmlformats.org/officeDocument/2006/relationships/image" Target="media/index-103_1.png"/><Relationship Id="rId240" Type="http://schemas.openxmlformats.org/officeDocument/2006/relationships/image" Target="media/index-103_2.png"/><Relationship Id="rId241" Type="http://schemas.openxmlformats.org/officeDocument/2006/relationships/image" Target="media/index-104_1.png"/><Relationship Id="rId242" Type="http://schemas.openxmlformats.org/officeDocument/2006/relationships/image" Target="media/index-104_2.png"/><Relationship Id="rId243" Type="http://schemas.openxmlformats.org/officeDocument/2006/relationships/image" Target="media/index-104_3.png"/><Relationship Id="rId244" Type="http://schemas.openxmlformats.org/officeDocument/2006/relationships/image" Target="media/index-105_1.png"/><Relationship Id="rId245" Type="http://schemas.openxmlformats.org/officeDocument/2006/relationships/image" Target="media/index-105_2.png"/><Relationship Id="rId246" Type="http://schemas.openxmlformats.org/officeDocument/2006/relationships/image" Target="media/index-106_1.png"/><Relationship Id="rId247" Type="http://schemas.openxmlformats.org/officeDocument/2006/relationships/image" Target="media/index-106_2.png"/><Relationship Id="rId248" Type="http://schemas.openxmlformats.org/officeDocument/2006/relationships/image" Target="media/index-107_1.png"/><Relationship Id="rId249" Type="http://schemas.openxmlformats.org/officeDocument/2006/relationships/image" Target="media/index-107_2.png"/><Relationship Id="rId250" Type="http://schemas.openxmlformats.org/officeDocument/2006/relationships/image" Target="media/index-108_1.png"/><Relationship Id="rId251" Type="http://schemas.openxmlformats.org/officeDocument/2006/relationships/image" Target="media/index-108_2.png"/><Relationship Id="rId252" Type="http://schemas.openxmlformats.org/officeDocument/2006/relationships/image" Target="media/index-108_3.png"/><Relationship Id="rId253" Type="http://schemas.openxmlformats.org/officeDocument/2006/relationships/image" Target="media/index-109_1.png"/><Relationship Id="rId254" Type="http://schemas.openxmlformats.org/officeDocument/2006/relationships/image" Target="media/index-109_2.png"/><Relationship Id="rId255" Type="http://schemas.openxmlformats.org/officeDocument/2006/relationships/image" Target="media/index-110_1.png"/><Relationship Id="rId256" Type="http://schemas.openxmlformats.org/officeDocument/2006/relationships/image" Target="media/index-110_2.png"/><Relationship Id="rId257" Type="http://schemas.openxmlformats.org/officeDocument/2006/relationships/image" Target="media/index-111_1.png"/><Relationship Id="rId258" Type="http://schemas.openxmlformats.org/officeDocument/2006/relationships/image" Target="media/index-111_2.png"/><Relationship Id="rId259" Type="http://schemas.openxmlformats.org/officeDocument/2006/relationships/image" Target="media/index-111_3.png"/><Relationship Id="rId260" Type="http://schemas.openxmlformats.org/officeDocument/2006/relationships/image" Target="media/index-112_1.png"/><Relationship Id="rId261" Type="http://schemas.openxmlformats.org/officeDocument/2006/relationships/image" Target="media/index-112_2.png"/><Relationship Id="rId262" Type="http://schemas.openxmlformats.org/officeDocument/2006/relationships/image" Target="media/index-112_3.png"/><Relationship Id="rId263" Type="http://schemas.openxmlformats.org/officeDocument/2006/relationships/image" Target="media/index-113_1.png"/><Relationship Id="rId264" Type="http://schemas.openxmlformats.org/officeDocument/2006/relationships/image" Target="media/index-113_2.png"/><Relationship Id="rId265" Type="http://schemas.openxmlformats.org/officeDocument/2006/relationships/image" Target="media/index-113_3.png"/><Relationship Id="rId266" Type="http://schemas.openxmlformats.org/officeDocument/2006/relationships/image" Target="media/index-114_1.png"/><Relationship Id="rId267" Type="http://schemas.openxmlformats.org/officeDocument/2006/relationships/image" Target="media/index-114_2.png"/><Relationship Id="rId268" Type="http://schemas.openxmlformats.org/officeDocument/2006/relationships/image" Target="media/index-114_3.png"/><Relationship Id="rId269" Type="http://schemas.openxmlformats.org/officeDocument/2006/relationships/image" Target="media/index-115_1.png"/><Relationship Id="rId270" Type="http://schemas.openxmlformats.org/officeDocument/2006/relationships/image" Target="media/index-115_2.png"/><Relationship Id="rId271" Type="http://schemas.openxmlformats.org/officeDocument/2006/relationships/image" Target="media/index-116_1.png"/><Relationship Id="rId272" Type="http://schemas.openxmlformats.org/officeDocument/2006/relationships/image" Target="media/index-116_2.png"/><Relationship Id="rId273" Type="http://schemas.openxmlformats.org/officeDocument/2006/relationships/image" Target="media/index-116_3.png"/><Relationship Id="rId274" Type="http://schemas.openxmlformats.org/officeDocument/2006/relationships/image" Target="media/index-117_1.png"/><Relationship Id="rId275" Type="http://schemas.openxmlformats.org/officeDocument/2006/relationships/image" Target="media/index-117_2.png"/><Relationship Id="rId276" Type="http://schemas.openxmlformats.org/officeDocument/2006/relationships/image" Target="media/index-118_1.png"/><Relationship Id="rId277" Type="http://schemas.openxmlformats.org/officeDocument/2006/relationships/image" Target="media/index-118_2.png"/><Relationship Id="rId278" Type="http://schemas.openxmlformats.org/officeDocument/2006/relationships/image" Target="media/index-119_1.png"/><Relationship Id="rId279" Type="http://schemas.openxmlformats.org/officeDocument/2006/relationships/image" Target="media/index-119_2.png"/><Relationship Id="rId280" Type="http://schemas.openxmlformats.org/officeDocument/2006/relationships/image" Target="media/index-120_1.png"/><Relationship Id="rId281" Type="http://schemas.openxmlformats.org/officeDocument/2006/relationships/image" Target="media/index-120_2.png"/><Relationship Id="rId282" Type="http://schemas.openxmlformats.org/officeDocument/2006/relationships/image" Target="media/index-121_1.png"/><Relationship Id="rId283" Type="http://schemas.openxmlformats.org/officeDocument/2006/relationships/image" Target="media/index-121_2.png"/><Relationship Id="rId284" Type="http://schemas.openxmlformats.org/officeDocument/2006/relationships/image" Target="media/index-122_1.png"/><Relationship Id="rId285" Type="http://schemas.openxmlformats.org/officeDocument/2006/relationships/image" Target="media/index-122_2.png"/><Relationship Id="rId286" Type="http://schemas.openxmlformats.org/officeDocument/2006/relationships/image" Target="media/index-123_1.png"/><Relationship Id="rId287" Type="http://schemas.openxmlformats.org/officeDocument/2006/relationships/image" Target="media/index-123_2.png"/><Relationship Id="rId288" Type="http://schemas.openxmlformats.org/officeDocument/2006/relationships/image" Target="media/index-124_1.png"/><Relationship Id="rId289" Type="http://schemas.openxmlformats.org/officeDocument/2006/relationships/image" Target="media/index-124_2.png"/><Relationship Id="rId290" Type="http://schemas.openxmlformats.org/officeDocument/2006/relationships/image" Target="media/index-125_1.png"/><Relationship Id="rId291" Type="http://schemas.openxmlformats.org/officeDocument/2006/relationships/image" Target="media/index-125_2.png"/><Relationship Id="rId292" Type="http://schemas.openxmlformats.org/officeDocument/2006/relationships/image" Target="media/index-126_1.png"/><Relationship Id="rId293" Type="http://schemas.openxmlformats.org/officeDocument/2006/relationships/image" Target="media/index-126_2.png"/><Relationship Id="rId294" Type="http://schemas.openxmlformats.org/officeDocument/2006/relationships/image" Target="media/index-127_1.png"/><Relationship Id="rId295" Type="http://schemas.openxmlformats.org/officeDocument/2006/relationships/image" Target="media/index-127_2.png"/><Relationship Id="rId296" Type="http://schemas.openxmlformats.org/officeDocument/2006/relationships/image" Target="media/index-128_1.png"/><Relationship Id="rId297" Type="http://schemas.openxmlformats.org/officeDocument/2006/relationships/image" Target="media/index-128_2.png"/><Relationship Id="rId298" Type="http://schemas.openxmlformats.org/officeDocument/2006/relationships/image" Target="media/index-129_1.png"/><Relationship Id="rId299" Type="http://schemas.openxmlformats.org/officeDocument/2006/relationships/image" Target="media/index-129_2.png"/><Relationship Id="rId300" Type="http://schemas.openxmlformats.org/officeDocument/2006/relationships/image" Target="media/index-130_1.png"/><Relationship Id="rId301" Type="http://schemas.openxmlformats.org/officeDocument/2006/relationships/image" Target="media/index-130_2.png"/><Relationship Id="rId302" Type="http://schemas.openxmlformats.org/officeDocument/2006/relationships/image" Target="media/index-130_3.png"/><Relationship Id="rId303" Type="http://schemas.openxmlformats.org/officeDocument/2006/relationships/image" Target="media/index-131_1.png"/><Relationship Id="rId304" Type="http://schemas.openxmlformats.org/officeDocument/2006/relationships/image" Target="media/index-131_2.png"/><Relationship Id="rId305" Type="http://schemas.openxmlformats.org/officeDocument/2006/relationships/image" Target="media/index-132_1.png"/><Relationship Id="rId306" Type="http://schemas.openxmlformats.org/officeDocument/2006/relationships/image" Target="media/index-132_2.png"/><Relationship Id="rId307" Type="http://schemas.openxmlformats.org/officeDocument/2006/relationships/image" Target="media/index-133_1.png"/><Relationship Id="rId308" Type="http://schemas.openxmlformats.org/officeDocument/2006/relationships/image" Target="media/index-133_2.png"/><Relationship Id="rId309" Type="http://schemas.openxmlformats.org/officeDocument/2006/relationships/image" Target="media/index-134_1.png"/><Relationship Id="rId310" Type="http://schemas.openxmlformats.org/officeDocument/2006/relationships/image" Target="media/index-134_2.png"/><Relationship Id="rId311" Type="http://schemas.openxmlformats.org/officeDocument/2006/relationships/image" Target="media/index-134_3.png"/><Relationship Id="rId312" Type="http://schemas.openxmlformats.org/officeDocument/2006/relationships/image" Target="media/index-135_1.png"/><Relationship Id="rId313" Type="http://schemas.openxmlformats.org/officeDocument/2006/relationships/image" Target="media/index-135_2.png"/><Relationship Id="rId314" Type="http://schemas.openxmlformats.org/officeDocument/2006/relationships/image" Target="media/index-136_1.png"/><Relationship Id="rId315" Type="http://schemas.openxmlformats.org/officeDocument/2006/relationships/image" Target="media/index-136_2.png"/><Relationship Id="rId316" Type="http://schemas.openxmlformats.org/officeDocument/2006/relationships/image" Target="media/index-137_1.png"/><Relationship Id="rId317" Type="http://schemas.openxmlformats.org/officeDocument/2006/relationships/image" Target="media/index-137_2.png"/><Relationship Id="rId318" Type="http://schemas.openxmlformats.org/officeDocument/2006/relationships/image" Target="media/index-138_1.png"/><Relationship Id="rId319" Type="http://schemas.openxmlformats.org/officeDocument/2006/relationships/image" Target="media/index-138_2.png"/><Relationship Id="rId320" Type="http://schemas.openxmlformats.org/officeDocument/2006/relationships/image" Target="media/index-138_3.png"/><Relationship Id="rId321" Type="http://schemas.openxmlformats.org/officeDocument/2006/relationships/image" Target="media/index-139_1.png"/><Relationship Id="rId322" Type="http://schemas.openxmlformats.org/officeDocument/2006/relationships/image" Target="media/index-139_2.png"/><Relationship Id="rId323" Type="http://schemas.openxmlformats.org/officeDocument/2006/relationships/image" Target="media/index-140_1.png"/><Relationship Id="rId324" Type="http://schemas.openxmlformats.org/officeDocument/2006/relationships/image" Target="media/index-140_2.png"/><Relationship Id="rId325" Type="http://schemas.openxmlformats.org/officeDocument/2006/relationships/image" Target="media/index-141_1.png"/><Relationship Id="rId326" Type="http://schemas.openxmlformats.org/officeDocument/2006/relationships/image" Target="media/index-141_2.png"/><Relationship Id="rId327" Type="http://schemas.openxmlformats.org/officeDocument/2006/relationships/image" Target="media/index-142_1.png"/><Relationship Id="rId328" Type="http://schemas.openxmlformats.org/officeDocument/2006/relationships/image" Target="media/index-142_2.png"/><Relationship Id="rId329" Type="http://schemas.openxmlformats.org/officeDocument/2006/relationships/image" Target="media/index-142_3.png"/><Relationship Id="rId330" Type="http://schemas.openxmlformats.org/officeDocument/2006/relationships/image" Target="media/index-143_1.png"/><Relationship Id="rId331" Type="http://schemas.openxmlformats.org/officeDocument/2006/relationships/image" Target="media/index-143_2.png"/><Relationship Id="rId332" Type="http://schemas.openxmlformats.org/officeDocument/2006/relationships/image" Target="media/index-143_3.png"/><Relationship Id="rId333" Type="http://schemas.openxmlformats.org/officeDocument/2006/relationships/image" Target="media/index-144_1.png"/><Relationship Id="rId334" Type="http://schemas.openxmlformats.org/officeDocument/2006/relationships/image" Target="media/index-144_2.png"/><Relationship Id="rId335" Type="http://schemas.openxmlformats.org/officeDocument/2006/relationships/image" Target="media/index-144_3.png"/><Relationship Id="rId336" Type="http://schemas.openxmlformats.org/officeDocument/2006/relationships/image" Target="media/index-145_1.png"/><Relationship Id="rId337" Type="http://schemas.openxmlformats.org/officeDocument/2006/relationships/image" Target="media/index-145_2.png"/><Relationship Id="rId338" Type="http://schemas.openxmlformats.org/officeDocument/2006/relationships/image" Target="media/index-145_3.png"/><Relationship Id="rId339" Type="http://schemas.openxmlformats.org/officeDocument/2006/relationships/image" Target="media/index-146_1.png"/><Relationship Id="rId340" Type="http://schemas.openxmlformats.org/officeDocument/2006/relationships/image" Target="media/index-146_2.png"/><Relationship Id="rId341" Type="http://schemas.openxmlformats.org/officeDocument/2006/relationships/image" Target="media/index-147_1.png"/><Relationship Id="rId342" Type="http://schemas.openxmlformats.org/officeDocument/2006/relationships/image" Target="media/index-147_2.png"/><Relationship Id="rId343" Type="http://schemas.openxmlformats.org/officeDocument/2006/relationships/image" Target="media/index-147_3.png"/><Relationship Id="rId344" Type="http://schemas.openxmlformats.org/officeDocument/2006/relationships/image" Target="media/index-148_1.png"/><Relationship Id="rId345" Type="http://schemas.openxmlformats.org/officeDocument/2006/relationships/image" Target="media/index-148_2.png"/><Relationship Id="rId346" Type="http://schemas.openxmlformats.org/officeDocument/2006/relationships/image" Target="media/index-149_1.png"/><Relationship Id="rId347" Type="http://schemas.openxmlformats.org/officeDocument/2006/relationships/image" Target="media/index-149_2.png"/><Relationship Id="rId348" Type="http://schemas.openxmlformats.org/officeDocument/2006/relationships/image" Target="media/index-149_3.png"/><Relationship Id="rId349" Type="http://schemas.openxmlformats.org/officeDocument/2006/relationships/image" Target="media/index-150_1.png"/><Relationship Id="rId350" Type="http://schemas.openxmlformats.org/officeDocument/2006/relationships/image" Target="media/index-150_2.png"/><Relationship Id="rId351" Type="http://schemas.openxmlformats.org/officeDocument/2006/relationships/image" Target="media/index-150_3.png"/><Relationship Id="rId352" Type="http://schemas.openxmlformats.org/officeDocument/2006/relationships/image" Target="media/index-151_1.png"/><Relationship Id="rId353" Type="http://schemas.openxmlformats.org/officeDocument/2006/relationships/image" Target="media/index-151_2.png"/><Relationship Id="rId354" Type="http://schemas.openxmlformats.org/officeDocument/2006/relationships/image" Target="media/index-151_3.png"/><Relationship Id="rId355" Type="http://schemas.openxmlformats.org/officeDocument/2006/relationships/image" Target="media/index-152_1.png"/><Relationship Id="rId356" Type="http://schemas.openxmlformats.org/officeDocument/2006/relationships/image" Target="media/index-152_2.png"/><Relationship Id="rId357" Type="http://schemas.openxmlformats.org/officeDocument/2006/relationships/image" Target="media/index-153_1.png"/><Relationship Id="rId358" Type="http://schemas.openxmlformats.org/officeDocument/2006/relationships/image" Target="media/index-153_2.png"/><Relationship Id="rId359" Type="http://schemas.openxmlformats.org/officeDocument/2006/relationships/image" Target="media/index-154_1.png"/><Relationship Id="rId360" Type="http://schemas.openxmlformats.org/officeDocument/2006/relationships/image" Target="media/index-154_2.png"/><Relationship Id="rId361" Type="http://schemas.openxmlformats.org/officeDocument/2006/relationships/image" Target="media/index-154_3.png"/><Relationship Id="rId362" Type="http://schemas.openxmlformats.org/officeDocument/2006/relationships/image" Target="media/index-155_1.png"/><Relationship Id="rId363" Type="http://schemas.openxmlformats.org/officeDocument/2006/relationships/image" Target="media/index-155_2.png"/><Relationship Id="rId364" Type="http://schemas.openxmlformats.org/officeDocument/2006/relationships/image" Target="media/index-156_1.png"/><Relationship Id="rId365" Type="http://schemas.openxmlformats.org/officeDocument/2006/relationships/image" Target="media/index-156_2.png"/><Relationship Id="rId366" Type="http://schemas.openxmlformats.org/officeDocument/2006/relationships/image" Target="media/index-157_1.png"/><Relationship Id="rId367" Type="http://schemas.openxmlformats.org/officeDocument/2006/relationships/image" Target="media/index-157_2.png"/><Relationship Id="rId368" Type="http://schemas.openxmlformats.org/officeDocument/2006/relationships/image" Target="media/index-158_1.png"/><Relationship Id="rId369" Type="http://schemas.openxmlformats.org/officeDocument/2006/relationships/image" Target="media/index-158_2.png"/><Relationship Id="rId370" Type="http://schemas.openxmlformats.org/officeDocument/2006/relationships/image" Target="media/index-158_3.png"/><Relationship Id="rId371" Type="http://schemas.openxmlformats.org/officeDocument/2006/relationships/image" Target="media/index-159_1.png"/><Relationship Id="rId372" Type="http://schemas.openxmlformats.org/officeDocument/2006/relationships/image" Target="media/index-159_2.png"/><Relationship Id="rId373" Type="http://schemas.openxmlformats.org/officeDocument/2006/relationships/image" Target="media/index-160_1.png"/><Relationship Id="rId374" Type="http://schemas.openxmlformats.org/officeDocument/2006/relationships/image" Target="media/index-160_2.png"/><Relationship Id="rId375" Type="http://schemas.openxmlformats.org/officeDocument/2006/relationships/image" Target="media/index-160_3.png"/><Relationship Id="rId376" Type="http://schemas.openxmlformats.org/officeDocument/2006/relationships/image" Target="media/index-161_1.png"/><Relationship Id="rId377" Type="http://schemas.openxmlformats.org/officeDocument/2006/relationships/image" Target="media/index-161_2.png"/><Relationship Id="rId378" Type="http://schemas.openxmlformats.org/officeDocument/2006/relationships/image" Target="media/index-161_3.png"/><Relationship Id="rId379" Type="http://schemas.openxmlformats.org/officeDocument/2006/relationships/image" Target="media/index-162_1.png"/><Relationship Id="rId380" Type="http://schemas.openxmlformats.org/officeDocument/2006/relationships/image" Target="media/index-162_2.png"/><Relationship Id="rId381" Type="http://schemas.openxmlformats.org/officeDocument/2006/relationships/image" Target="media/index-162_3.png"/><Relationship Id="rId382" Type="http://schemas.openxmlformats.org/officeDocument/2006/relationships/image" Target="media/index-163_1.png"/><Relationship Id="rId383" Type="http://schemas.openxmlformats.org/officeDocument/2006/relationships/image" Target="media/index-163_2.png"/><Relationship Id="rId384" Type="http://schemas.openxmlformats.org/officeDocument/2006/relationships/image" Target="media/index-164_1.png"/><Relationship Id="rId385" Type="http://schemas.openxmlformats.org/officeDocument/2006/relationships/image" Target="media/index-164_2.png"/><Relationship Id="rId386" Type="http://schemas.openxmlformats.org/officeDocument/2006/relationships/image" Target="media/index-165_1.png"/><Relationship Id="rId387" Type="http://schemas.openxmlformats.org/officeDocument/2006/relationships/image" Target="media/index-165_2.png"/><Relationship Id="rId388" Type="http://schemas.openxmlformats.org/officeDocument/2006/relationships/image" Target="media/index-165_3.png"/><Relationship Id="rId389" Type="http://schemas.openxmlformats.org/officeDocument/2006/relationships/image" Target="media/index-166_1.png"/><Relationship Id="rId390" Type="http://schemas.openxmlformats.org/officeDocument/2006/relationships/image" Target="media/index-166_2.png"/><Relationship Id="rId391" Type="http://schemas.openxmlformats.org/officeDocument/2006/relationships/image" Target="media/index-166_3.png"/><Relationship Id="rId392" Type="http://schemas.openxmlformats.org/officeDocument/2006/relationships/image" Target="media/index-167_1.png"/><Relationship Id="rId393" Type="http://schemas.openxmlformats.org/officeDocument/2006/relationships/image" Target="media/index-167_2.png"/><Relationship Id="rId394" Type="http://schemas.openxmlformats.org/officeDocument/2006/relationships/image" Target="media/index-167_3.png"/><Relationship Id="rId395" Type="http://schemas.openxmlformats.org/officeDocument/2006/relationships/image" Target="media/index-168_1.png"/><Relationship Id="rId396" Type="http://schemas.openxmlformats.org/officeDocument/2006/relationships/image" Target="media/index-168_2.png"/><Relationship Id="rId397" Type="http://schemas.openxmlformats.org/officeDocument/2006/relationships/image" Target="media/index-168_3.png"/><Relationship Id="rId398" Type="http://schemas.openxmlformats.org/officeDocument/2006/relationships/image" Target="media/index-169_1.png"/><Relationship Id="rId399" Type="http://schemas.openxmlformats.org/officeDocument/2006/relationships/image" Target="media/index-169_2.png"/><Relationship Id="rId400" Type="http://schemas.openxmlformats.org/officeDocument/2006/relationships/image" Target="media/index-170_1.png"/><Relationship Id="rId401" Type="http://schemas.openxmlformats.org/officeDocument/2006/relationships/image" Target="media/index-170_2.png"/><Relationship Id="rId402" Type="http://schemas.openxmlformats.org/officeDocument/2006/relationships/image" Target="media/index-170_3.png"/><Relationship Id="rId403" Type="http://schemas.openxmlformats.org/officeDocument/2006/relationships/image" Target="media/index-171_1.png"/><Relationship Id="rId404" Type="http://schemas.openxmlformats.org/officeDocument/2006/relationships/image" Target="media/index-171_2.png"/><Relationship Id="rId405" Type="http://schemas.openxmlformats.org/officeDocument/2006/relationships/image" Target="media/index-172_1.png"/><Relationship Id="rId406" Type="http://schemas.openxmlformats.org/officeDocument/2006/relationships/image" Target="media/index-172_2.png"/><Relationship Id="rId407" Type="http://schemas.openxmlformats.org/officeDocument/2006/relationships/image" Target="media/index-172_3.png"/><Relationship Id="rId408" Type="http://schemas.openxmlformats.org/officeDocument/2006/relationships/image" Target="media/index-173_1.png"/><Relationship Id="rId409" Type="http://schemas.openxmlformats.org/officeDocument/2006/relationships/image" Target="media/index-173_2.png"/><Relationship Id="rId410" Type="http://schemas.openxmlformats.org/officeDocument/2006/relationships/image" Target="media/index-174_1.png"/><Relationship Id="rId411" Type="http://schemas.openxmlformats.org/officeDocument/2006/relationships/image" Target="media/index-174_2.png"/><Relationship Id="rId412" Type="http://schemas.openxmlformats.org/officeDocument/2006/relationships/image" Target="media/index-175_1.png"/><Relationship Id="rId413" Type="http://schemas.openxmlformats.org/officeDocument/2006/relationships/image" Target="media/index-175_2.png"/><Relationship Id="rId414" Type="http://schemas.openxmlformats.org/officeDocument/2006/relationships/image" Target="media/index-176_1.png"/><Relationship Id="rId415" Type="http://schemas.openxmlformats.org/officeDocument/2006/relationships/image" Target="media/index-176_2.png"/><Relationship Id="rId416" Type="http://schemas.openxmlformats.org/officeDocument/2006/relationships/image" Target="media/index-176_3.png"/><Relationship Id="rId417" Type="http://schemas.openxmlformats.org/officeDocument/2006/relationships/image" Target="media/index-177_1.png"/><Relationship Id="rId418" Type="http://schemas.openxmlformats.org/officeDocument/2006/relationships/image" Target="media/index-177_2.png"/><Relationship Id="rId419" Type="http://schemas.openxmlformats.org/officeDocument/2006/relationships/image" Target="media/index-178_1.png"/><Relationship Id="rId420" Type="http://schemas.openxmlformats.org/officeDocument/2006/relationships/image" Target="media/index-178_2.png"/><Relationship Id="rId421" Type="http://schemas.openxmlformats.org/officeDocument/2006/relationships/image" Target="media/index-179_1.png"/><Relationship Id="rId422" Type="http://schemas.openxmlformats.org/officeDocument/2006/relationships/image" Target="media/index-179_2.png"/><Relationship Id="rId423" Type="http://schemas.openxmlformats.org/officeDocument/2006/relationships/image" Target="media/index-180_1.png"/><Relationship Id="rId424" Type="http://schemas.openxmlformats.org/officeDocument/2006/relationships/image" Target="media/index-180_2.png"/><Relationship Id="rId425" Type="http://schemas.openxmlformats.org/officeDocument/2006/relationships/image" Target="media/index-181_1.png"/><Relationship Id="rId426" Type="http://schemas.openxmlformats.org/officeDocument/2006/relationships/image" Target="media/index-181_2.png"/><Relationship Id="rId427" Type="http://schemas.openxmlformats.org/officeDocument/2006/relationships/image" Target="media/index-182_1.png"/><Relationship Id="rId428" Type="http://schemas.openxmlformats.org/officeDocument/2006/relationships/image" Target="media/index-182_2.png"/><Relationship Id="rId429" Type="http://schemas.openxmlformats.org/officeDocument/2006/relationships/image" Target="media/index-183_1.png"/><Relationship Id="rId430" Type="http://schemas.openxmlformats.org/officeDocument/2006/relationships/image" Target="media/index-183_2.png"/><Relationship Id="rId431" Type="http://schemas.openxmlformats.org/officeDocument/2006/relationships/image" Target="media/index-184_1.png"/><Relationship Id="rId432" Type="http://schemas.openxmlformats.org/officeDocument/2006/relationships/image" Target="media/index-184_2.png"/><Relationship Id="rId433" Type="http://schemas.openxmlformats.org/officeDocument/2006/relationships/image" Target="media/index-184_3.png"/><Relationship Id="rId434" Type="http://schemas.openxmlformats.org/officeDocument/2006/relationships/image" Target="media/index-185_1.png"/><Relationship Id="rId435" Type="http://schemas.openxmlformats.org/officeDocument/2006/relationships/image" Target="media/index-185_2.png"/><Relationship Id="rId436" Type="http://schemas.openxmlformats.org/officeDocument/2006/relationships/image" Target="media/index-186_1.png"/><Relationship Id="rId437" Type="http://schemas.openxmlformats.org/officeDocument/2006/relationships/image" Target="media/index-186_2.png"/><Relationship Id="rId438" Type="http://schemas.openxmlformats.org/officeDocument/2006/relationships/image" Target="media/index-187_1.png"/><Relationship Id="rId439" Type="http://schemas.openxmlformats.org/officeDocument/2006/relationships/image" Target="media/index-187_2.png"/><Relationship Id="rId440" Type="http://schemas.openxmlformats.org/officeDocument/2006/relationships/image" Target="media/index-188_1.png"/><Relationship Id="rId441" Type="http://schemas.openxmlformats.org/officeDocument/2006/relationships/image" Target="media/index-188_2.png"/><Relationship Id="rId442" Type="http://schemas.openxmlformats.org/officeDocument/2006/relationships/image" Target="media/index-189_1.png"/><Relationship Id="rId443" Type="http://schemas.openxmlformats.org/officeDocument/2006/relationships/image" Target="media/index-189_2.png"/><Relationship Id="rId444" Type="http://schemas.openxmlformats.org/officeDocument/2006/relationships/image" Target="media/index-190_1.png"/><Relationship Id="rId445" Type="http://schemas.openxmlformats.org/officeDocument/2006/relationships/image" Target="media/index-190_2.png"/><Relationship Id="rId446" Type="http://schemas.openxmlformats.org/officeDocument/2006/relationships/image" Target="media/index-191_1.png"/><Relationship Id="rId447" Type="http://schemas.openxmlformats.org/officeDocument/2006/relationships/image" Target="media/index-191_2.png"/><Relationship Id="rId448" Type="http://schemas.openxmlformats.org/officeDocument/2006/relationships/image" Target="media/index-192_1.png"/><Relationship Id="rId449" Type="http://schemas.openxmlformats.org/officeDocument/2006/relationships/image" Target="media/index-192_2.png"/><Relationship Id="rId450" Type="http://schemas.openxmlformats.org/officeDocument/2006/relationships/image" Target="media/index-193_1.png"/><Relationship Id="rId451" Type="http://schemas.openxmlformats.org/officeDocument/2006/relationships/image" Target="media/index-193_2.png"/><Relationship Id="rId452" Type="http://schemas.openxmlformats.org/officeDocument/2006/relationships/image" Target="media/index-194_1.png"/><Relationship Id="rId453" Type="http://schemas.openxmlformats.org/officeDocument/2006/relationships/image" Target="media/index-194_2.png"/><Relationship Id="rId454" Type="http://schemas.openxmlformats.org/officeDocument/2006/relationships/image" Target="media/index-195_1.png"/><Relationship Id="rId455" Type="http://schemas.openxmlformats.org/officeDocument/2006/relationships/image" Target="media/index-195_2.png"/><Relationship Id="rId456" Type="http://schemas.openxmlformats.org/officeDocument/2006/relationships/image" Target="media/index-195_3.png"/><Relationship Id="rId457" Type="http://schemas.openxmlformats.org/officeDocument/2006/relationships/image" Target="media/index-196_1.png"/><Relationship Id="rId458" Type="http://schemas.openxmlformats.org/officeDocument/2006/relationships/image" Target="media/index-196_2.png"/><Relationship Id="rId459" Type="http://schemas.openxmlformats.org/officeDocument/2006/relationships/image" Target="media/index-197_1.png"/><Relationship Id="rId460" Type="http://schemas.openxmlformats.org/officeDocument/2006/relationships/image" Target="media/index-197_2.png"/><Relationship Id="rId461" Type="http://schemas.openxmlformats.org/officeDocument/2006/relationships/image" Target="media/index-198_1.png"/><Relationship Id="rId462" Type="http://schemas.openxmlformats.org/officeDocument/2006/relationships/image" Target="media/index-198_2.png"/><Relationship Id="rId463" Type="http://schemas.openxmlformats.org/officeDocument/2006/relationships/image" Target="media/index-199_1.png"/><Relationship Id="rId464" Type="http://schemas.openxmlformats.org/officeDocument/2006/relationships/image" Target="media/index-199_2.png"/><Relationship Id="rId465" Type="http://schemas.openxmlformats.org/officeDocument/2006/relationships/image" Target="media/index-200_1.png"/><Relationship Id="rId466" Type="http://schemas.openxmlformats.org/officeDocument/2006/relationships/image" Target="media/index-200_2.png"/><Relationship Id="rId467" Type="http://schemas.openxmlformats.org/officeDocument/2006/relationships/image" Target="media/index-201_1.png"/><Relationship Id="rId468" Type="http://schemas.openxmlformats.org/officeDocument/2006/relationships/image" Target="media/index-201_2.png"/><Relationship Id="rId469" Type="http://schemas.openxmlformats.org/officeDocument/2006/relationships/image" Target="media/index-202_1.png"/><Relationship Id="rId470" Type="http://schemas.openxmlformats.org/officeDocument/2006/relationships/image" Target="media/index-202_2.png"/><Relationship Id="rId471" Type="http://schemas.openxmlformats.org/officeDocument/2006/relationships/image" Target="media/index-203_1.png"/><Relationship Id="rId472" Type="http://schemas.openxmlformats.org/officeDocument/2006/relationships/image" Target="media/index-203_2.png"/><Relationship Id="rId473" Type="http://schemas.openxmlformats.org/officeDocument/2006/relationships/image" Target="media/index-204_1.png"/><Relationship Id="rId474" Type="http://schemas.openxmlformats.org/officeDocument/2006/relationships/image" Target="media/index-204_2.png"/><Relationship Id="rId475" Type="http://schemas.openxmlformats.org/officeDocument/2006/relationships/image" Target="media/index-205_1.png"/><Relationship Id="rId476" Type="http://schemas.openxmlformats.org/officeDocument/2006/relationships/image" Target="media/index-205_2.png"/><Relationship Id="rId477" Type="http://schemas.openxmlformats.org/officeDocument/2006/relationships/image" Target="media/index-205_3.png"/><Relationship Id="rId478" Type="http://schemas.openxmlformats.org/officeDocument/2006/relationships/image" Target="media/index-206_1.png"/><Relationship Id="rId479" Type="http://schemas.openxmlformats.org/officeDocument/2006/relationships/image" Target="media/index-206_2.png"/><Relationship Id="rId480" Type="http://schemas.openxmlformats.org/officeDocument/2006/relationships/image" Target="media/index-206_3.png"/><Relationship Id="rId481" Type="http://schemas.openxmlformats.org/officeDocument/2006/relationships/image" Target="media/index-207_1.png"/><Relationship Id="rId482" Type="http://schemas.openxmlformats.org/officeDocument/2006/relationships/image" Target="media/index-207_2.png"/><Relationship Id="rId483" Type="http://schemas.openxmlformats.org/officeDocument/2006/relationships/image" Target="media/index-207_3.png"/><Relationship Id="rId484" Type="http://schemas.openxmlformats.org/officeDocument/2006/relationships/image" Target="media/index-208_1.png"/><Relationship Id="rId485" Type="http://schemas.openxmlformats.org/officeDocument/2006/relationships/image" Target="media/index-208_2.png"/><Relationship Id="rId486" Type="http://schemas.openxmlformats.org/officeDocument/2006/relationships/image" Target="media/index-209_1.png"/><Relationship Id="rId487" Type="http://schemas.openxmlformats.org/officeDocument/2006/relationships/image" Target="media/index-209_2.png"/><Relationship Id="rId488" Type="http://schemas.openxmlformats.org/officeDocument/2006/relationships/image" Target="media/index-210_1.png"/><Relationship Id="rId489" Type="http://schemas.openxmlformats.org/officeDocument/2006/relationships/image" Target="media/index-210_2.png"/><Relationship Id="rId490" Type="http://schemas.openxmlformats.org/officeDocument/2006/relationships/image" Target="media/index-211_1.png"/><Relationship Id="rId491" Type="http://schemas.openxmlformats.org/officeDocument/2006/relationships/image" Target="media/index-211_2.png"/><Relationship Id="rId492" Type="http://schemas.openxmlformats.org/officeDocument/2006/relationships/image" Target="media/index-212_1.png"/><Relationship Id="rId493" Type="http://schemas.openxmlformats.org/officeDocument/2006/relationships/image" Target="media/index-212_2.png"/><Relationship Id="rId494" Type="http://schemas.openxmlformats.org/officeDocument/2006/relationships/image" Target="media/index-213_1.png"/><Relationship Id="rId495" Type="http://schemas.openxmlformats.org/officeDocument/2006/relationships/image" Target="media/index-213_2.png"/><Relationship Id="rId496" Type="http://schemas.openxmlformats.org/officeDocument/2006/relationships/image" Target="media/index-214_1.png"/><Relationship Id="rId497" Type="http://schemas.openxmlformats.org/officeDocument/2006/relationships/image" Target="media/index-214_2.png"/><Relationship Id="rId498" Type="http://schemas.openxmlformats.org/officeDocument/2006/relationships/image" Target="media/index-215_1.png"/><Relationship Id="rId499" Type="http://schemas.openxmlformats.org/officeDocument/2006/relationships/image" Target="media/index-215_2.png"/><Relationship Id="rId500" Type="http://schemas.openxmlformats.org/officeDocument/2006/relationships/image" Target="media/index-215_3.png"/><Relationship Id="rId501" Type="http://schemas.openxmlformats.org/officeDocument/2006/relationships/image" Target="media/index-216_1.png"/><Relationship Id="rId502" Type="http://schemas.openxmlformats.org/officeDocument/2006/relationships/image" Target="media/index-216_2.png"/><Relationship Id="rId503" Type="http://schemas.openxmlformats.org/officeDocument/2006/relationships/image" Target="media/index-217_1.png"/><Relationship Id="rId504" Type="http://schemas.openxmlformats.org/officeDocument/2006/relationships/image" Target="media/index-217_2.png"/><Relationship Id="rId505" Type="http://schemas.openxmlformats.org/officeDocument/2006/relationships/image" Target="media/index-218_1.png"/><Relationship Id="rId506" Type="http://schemas.openxmlformats.org/officeDocument/2006/relationships/image" Target="media/index-218_2.png"/><Relationship Id="rId507" Type="http://schemas.openxmlformats.org/officeDocument/2006/relationships/image" Target="media/index-219_1.png"/><Relationship Id="rId508" Type="http://schemas.openxmlformats.org/officeDocument/2006/relationships/image" Target="media/index-219_2.png"/><Relationship Id="rId509" Type="http://schemas.openxmlformats.org/officeDocument/2006/relationships/image" Target="media/cover.jpe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08.0007</AppVersion>
  <DocSecurity>0</DocSecurity>
  <HyperlinksChanged>false</HyperlinksChanged>
  <LinksUpToDate>true</LinksUpToDate>
  <ScaleCrop>false</ScaleCrop>
  <SharedDoc>false</SharedDoc>
  <Company>WindowsMode.com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2025-08-22T13:24:52Z</dcterms:created>
  <dcterms:modified xsi:type="dcterms:W3CDTF">2025-08-22T13:24:52Z</dcterms:modified>
  <dc:title>The Defintive Guide to Windows Desktop Administration</dc:title>
  <dc:creator>Bob Kelly</dc:creator>
  <cp:keywords>Admin, Windows, DevOPs, Enterprises, Commands</cp:keywords>
  <dc:description>&lt;div&gt;
&lt;p&gt;&lt;strong&gt;This PDF was created for free by &lt;/strong&gt;&lt;a href="https://www.windowsmode.com"&gt;&lt;strong style="color: #6cb4ee"&gt;WindowsMode.com&lt;/strong&gt;&lt;/a&gt;&lt;strong&gt; - Visit our site for more downloads like software and games we recommend and yes, more Windows eBooks!&lt;/strong&gt;&lt;/p&gt;&lt;/div&gt;</dc:description>
  <dc:language>en</dc:language>
</cp:coreProperties>
</file>